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8541C" w14:textId="5826861E" w:rsidR="0077637F" w:rsidRDefault="001C23EA" w:rsidP="0077637F">
      <w:pPr>
        <w:rPr>
          <w:b/>
          <w:color w:val="293574" w:themeColor="accent1"/>
          <w:sz w:val="24"/>
        </w:rPr>
      </w:pPr>
      <w:r>
        <w:rPr>
          <w:noProof/>
        </w:rPr>
        <w:drawing>
          <wp:anchor distT="0" distB="0" distL="114300" distR="114300" simplePos="0" relativeHeight="251758592" behindDoc="1" locked="0" layoutInCell="1" allowOverlap="1" wp14:anchorId="342FD87D" wp14:editId="03490667">
            <wp:simplePos x="0" y="0"/>
            <wp:positionH relativeFrom="page">
              <wp:align>left</wp:align>
            </wp:positionH>
            <wp:positionV relativeFrom="paragraph">
              <wp:posOffset>0</wp:posOffset>
            </wp:positionV>
            <wp:extent cx="7724775" cy="10734675"/>
            <wp:effectExtent l="0" t="0" r="9525" b="9525"/>
            <wp:wrapTight wrapText="bothSides">
              <wp:wrapPolygon edited="0">
                <wp:start x="0" y="0"/>
                <wp:lineTo x="0" y="21581"/>
                <wp:lineTo x="21573" y="21581"/>
                <wp:lineTo x="215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24775" cy="10734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31AA7D" w14:textId="1B4CC029" w:rsidR="0077637F" w:rsidRDefault="0077637F" w:rsidP="0077637F">
      <w:pPr>
        <w:tabs>
          <w:tab w:val="left" w:pos="1155"/>
        </w:tabs>
        <w:rPr>
          <w:b/>
          <w:color w:val="293574" w:themeColor="accent1"/>
          <w:sz w:val="24"/>
        </w:rPr>
      </w:pPr>
    </w:p>
    <w:p w14:paraId="1FEC6E28" w14:textId="112B32D7" w:rsidR="004F3712" w:rsidRDefault="0077637F" w:rsidP="001C23EA">
      <w:pPr>
        <w:tabs>
          <w:tab w:val="left" w:pos="1155"/>
        </w:tabs>
        <w:rPr>
          <w:b/>
          <w:color w:val="293574" w:themeColor="accent1"/>
          <w:sz w:val="24"/>
        </w:rPr>
      </w:pPr>
      <w:r>
        <w:rPr>
          <w:sz w:val="24"/>
        </w:rPr>
        <w:tab/>
      </w: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27" w:type="dxa"/>
          <w:left w:w="227" w:type="dxa"/>
          <w:bottom w:w="113" w:type="dxa"/>
          <w:right w:w="227" w:type="dxa"/>
        </w:tblCellMar>
        <w:tblLook w:val="0480" w:firstRow="0" w:lastRow="0" w:firstColumn="1" w:lastColumn="0" w:noHBand="0" w:noVBand="1"/>
      </w:tblPr>
      <w:tblGrid>
        <w:gridCol w:w="10533"/>
      </w:tblGrid>
      <w:tr w:rsidR="000E731D" w:rsidRPr="00FA219B" w14:paraId="741B663C" w14:textId="77777777" w:rsidTr="000173BD">
        <w:trPr>
          <w:trHeight w:hRule="exact" w:val="1814"/>
        </w:trPr>
        <w:tc>
          <w:tcPr>
            <w:tcW w:w="10533" w:type="dxa"/>
            <w:shd w:val="clear" w:color="auto" w:fill="862633"/>
          </w:tcPr>
          <w:p w14:paraId="4FFB0B13" w14:textId="77777777" w:rsidR="004304AA" w:rsidRDefault="004304AA" w:rsidP="000173BD">
            <w:pPr>
              <w:pStyle w:val="Title"/>
              <w:rPr>
                <w:b/>
                <w:bCs/>
              </w:rPr>
            </w:pPr>
          </w:p>
          <w:p w14:paraId="41977F5A" w14:textId="12BBF6E3" w:rsidR="000E731D" w:rsidRPr="000E731D" w:rsidRDefault="000E731D" w:rsidP="000173BD">
            <w:pPr>
              <w:pStyle w:val="Title"/>
              <w:rPr>
                <w:b/>
                <w:bCs/>
              </w:rPr>
            </w:pPr>
            <w:r w:rsidRPr="000E731D">
              <w:rPr>
                <w:b/>
                <w:bCs/>
              </w:rPr>
              <w:t xml:space="preserve">Transition </w:t>
            </w:r>
            <w:r w:rsidR="004304AA">
              <w:rPr>
                <w:b/>
                <w:bCs/>
              </w:rPr>
              <w:t>t</w:t>
            </w:r>
            <w:r w:rsidRPr="000E731D">
              <w:rPr>
                <w:b/>
                <w:bCs/>
              </w:rPr>
              <w:t>o retirement</w:t>
            </w:r>
          </w:p>
          <w:p w14:paraId="6BFD6BBF" w14:textId="44FAF26E" w:rsidR="000E731D" w:rsidRPr="00FA219B" w:rsidRDefault="000E731D" w:rsidP="000173BD">
            <w:pPr>
              <w:pStyle w:val="Subtitle"/>
              <w:spacing w:before="120"/>
            </w:pPr>
            <w:r w:rsidRPr="000E731D">
              <w:t xml:space="preserve">  </w:t>
            </w:r>
          </w:p>
        </w:tc>
      </w:tr>
    </w:tbl>
    <w:p w14:paraId="3182E3A8" w14:textId="0415A07A" w:rsidR="0012386C" w:rsidRPr="00AD1592" w:rsidRDefault="00570123" w:rsidP="000E731D">
      <w:pPr>
        <w:spacing w:after="200" w:line="276" w:lineRule="auto"/>
        <w:jc w:val="both"/>
        <w:rPr>
          <w:rFonts w:ascii="Arial" w:hAnsi="Arial" w:cs="Arial"/>
          <w:bCs/>
          <w:i/>
          <w:iCs/>
          <w:sz w:val="28"/>
          <w:szCs w:val="28"/>
        </w:rPr>
        <w:sectPr w:rsidR="0012386C" w:rsidRPr="00AD1592" w:rsidSect="0077637F">
          <w:pgSz w:w="11907" w:h="16840" w:code="9"/>
          <w:pgMar w:top="0" w:right="567" w:bottom="1134" w:left="567" w:header="0" w:footer="454" w:gutter="0"/>
          <w:cols w:space="720"/>
          <w:noEndnote/>
          <w:docGrid w:linePitch="272"/>
        </w:sectPr>
      </w:pPr>
      <w:r>
        <w:rPr>
          <w:b/>
          <w:color w:val="293574" w:themeColor="accent1"/>
          <w:sz w:val="24"/>
        </w:rPr>
        <w:br/>
      </w:r>
      <w:r w:rsidR="0012386C" w:rsidRPr="004304AA">
        <w:rPr>
          <w:bCs/>
          <w:i/>
          <w:iCs/>
          <w:color w:val="2A2D35"/>
          <w:sz w:val="28"/>
          <w:szCs w:val="28"/>
        </w:rPr>
        <w:t>A transition to retirement strategy may give you more flexibility and allow you to take advantage of tax concessions to help you achieve the lifestyle and super balance you wan</w:t>
      </w:r>
      <w:r w:rsidR="00AD1592" w:rsidRPr="004304AA">
        <w:rPr>
          <w:bCs/>
          <w:i/>
          <w:iCs/>
          <w:color w:val="2A2D35"/>
          <w:sz w:val="28"/>
          <w:szCs w:val="28"/>
        </w:rPr>
        <w:t>t</w:t>
      </w:r>
      <w:r w:rsidR="001067AE">
        <w:rPr>
          <w:bCs/>
          <w:i/>
          <w:iCs/>
          <w:color w:val="2A2D35"/>
          <w:sz w:val="28"/>
          <w:szCs w:val="28"/>
        </w:rPr>
        <w:t>.</w:t>
      </w:r>
    </w:p>
    <w:p w14:paraId="64117B9F" w14:textId="1C0CCEC0" w:rsidR="000E731D" w:rsidRPr="000E731D" w:rsidRDefault="0012386C" w:rsidP="0012386C">
      <w:pPr>
        <w:autoSpaceDE w:val="0"/>
        <w:autoSpaceDN w:val="0"/>
        <w:adjustRightInd w:val="0"/>
        <w:rPr>
          <w:rFonts w:asciiTheme="majorHAnsi" w:eastAsia="MS Mincho" w:hAnsiTheme="majorHAnsi" w:cstheme="majorHAnsi"/>
          <w:b/>
          <w:bCs/>
          <w:color w:val="000000"/>
          <w:sz w:val="24"/>
          <w:lang w:bidi="hi-IN"/>
        </w:rPr>
      </w:pPr>
      <w:r w:rsidRPr="000E731D">
        <w:rPr>
          <w:rFonts w:asciiTheme="majorHAnsi" w:eastAsia="MS Mincho" w:hAnsiTheme="majorHAnsi" w:cstheme="majorHAnsi"/>
          <w:b/>
          <w:bCs/>
          <w:color w:val="862633"/>
          <w:sz w:val="24"/>
          <w:lang w:bidi="hi-IN"/>
        </w:rPr>
        <w:t>Beginning the transition to retirement</w:t>
      </w:r>
    </w:p>
    <w:p w14:paraId="172C5D87" w14:textId="72F04731" w:rsidR="00AD1592" w:rsidRPr="004304AA" w:rsidRDefault="004304AA" w:rsidP="00AD1592">
      <w:pPr>
        <w:autoSpaceDE w:val="0"/>
        <w:autoSpaceDN w:val="0"/>
        <w:adjustRightInd w:val="0"/>
        <w:jc w:val="both"/>
        <w:rPr>
          <w:rFonts w:ascii="Arial" w:hAnsi="Arial" w:cs="Arial"/>
          <w:color w:val="2A2D35"/>
          <w:szCs w:val="20"/>
        </w:rPr>
      </w:pPr>
      <w:r w:rsidRPr="004304AA">
        <w:rPr>
          <w:rFonts w:ascii="Arial" w:hAnsi="Arial" w:cs="Arial"/>
          <w:color w:val="2A2D35"/>
          <w:szCs w:val="20"/>
        </w:rPr>
        <w:t>The years before you retire can be challenging. While you are probably looking forward to having more time to do the things you enjoy, you may not be ready to stop working just yet. Many people are also concerned about whether or not they have saved enough to provide them with a comfortable retirement – especially with retirees living longer than ever before. A transition to retirement (TTR) strategy can help you ease into retirement and boost your super in a tax effective way.</w:t>
      </w:r>
    </w:p>
    <w:p w14:paraId="06E82A33" w14:textId="77777777" w:rsidR="004304AA" w:rsidRPr="00AD1592" w:rsidRDefault="004304AA" w:rsidP="00AD1592">
      <w:pPr>
        <w:autoSpaceDE w:val="0"/>
        <w:autoSpaceDN w:val="0"/>
        <w:adjustRightInd w:val="0"/>
        <w:jc w:val="both"/>
        <w:rPr>
          <w:rFonts w:asciiTheme="majorHAnsi" w:eastAsia="MS Mincho" w:hAnsiTheme="majorHAnsi" w:cstheme="majorHAnsi"/>
          <w:b/>
          <w:bCs/>
          <w:szCs w:val="20"/>
          <w:lang w:bidi="hi-IN"/>
        </w:rPr>
      </w:pPr>
    </w:p>
    <w:p w14:paraId="0B819E5C" w14:textId="3CAC2815" w:rsidR="000E731D" w:rsidRPr="004304AA" w:rsidRDefault="0012386C" w:rsidP="0012386C">
      <w:pPr>
        <w:autoSpaceDE w:val="0"/>
        <w:autoSpaceDN w:val="0"/>
        <w:adjustRightInd w:val="0"/>
        <w:rPr>
          <w:rFonts w:asciiTheme="majorHAnsi" w:eastAsia="MS Mincho" w:hAnsiTheme="majorHAnsi" w:cstheme="majorHAnsi"/>
          <w:b/>
          <w:bCs/>
          <w:color w:val="862633"/>
          <w:sz w:val="24"/>
          <w:lang w:bidi="hi-IN"/>
        </w:rPr>
      </w:pPr>
      <w:r w:rsidRPr="004304AA">
        <w:rPr>
          <w:rFonts w:asciiTheme="majorHAnsi" w:eastAsia="MS Mincho" w:hAnsiTheme="majorHAnsi" w:cstheme="majorHAnsi"/>
          <w:b/>
          <w:bCs/>
          <w:color w:val="862633"/>
          <w:sz w:val="24"/>
          <w:lang w:bidi="hi-IN"/>
        </w:rPr>
        <w:t>What is a transition to retirement strategy?</w:t>
      </w:r>
    </w:p>
    <w:p w14:paraId="583DF469" w14:textId="77777777" w:rsidR="004304AA" w:rsidRPr="004304AA" w:rsidRDefault="004304AA" w:rsidP="004304AA">
      <w:pPr>
        <w:autoSpaceDE w:val="0"/>
        <w:autoSpaceDN w:val="0"/>
        <w:adjustRightInd w:val="0"/>
        <w:jc w:val="both"/>
        <w:rPr>
          <w:rFonts w:ascii="Arial" w:hAnsi="Arial" w:cs="Arial"/>
          <w:color w:val="2A2D35"/>
          <w:szCs w:val="20"/>
        </w:rPr>
      </w:pPr>
      <w:r w:rsidRPr="004304AA">
        <w:rPr>
          <w:rFonts w:ascii="Arial" w:hAnsi="Arial" w:cs="Arial"/>
          <w:color w:val="2A2D35"/>
          <w:szCs w:val="20"/>
        </w:rPr>
        <w:t>Transition to retirement strategies are designed to give you greater flexibility as you move towards retirement. Once you reach what’s known as your ‘preservation age’, you can access your super by starting a transition to retirement income stream (a regular income stream drawn from your super savings).</w:t>
      </w:r>
    </w:p>
    <w:p w14:paraId="44616B62" w14:textId="77777777" w:rsidR="004304AA" w:rsidRDefault="004304AA" w:rsidP="0012386C">
      <w:pPr>
        <w:autoSpaceDE w:val="0"/>
        <w:autoSpaceDN w:val="0"/>
        <w:adjustRightInd w:val="0"/>
        <w:rPr>
          <w:rFonts w:ascii="Arial" w:hAnsi="Arial" w:cs="Arial"/>
          <w:szCs w:val="20"/>
        </w:rPr>
      </w:pPr>
    </w:p>
    <w:p w14:paraId="009B4C78" w14:textId="5BD6394F" w:rsidR="000E731D" w:rsidRDefault="0012386C" w:rsidP="0012386C">
      <w:pPr>
        <w:autoSpaceDE w:val="0"/>
        <w:autoSpaceDN w:val="0"/>
        <w:adjustRightInd w:val="0"/>
        <w:rPr>
          <w:rFonts w:asciiTheme="majorHAnsi" w:eastAsia="MS Mincho" w:hAnsiTheme="majorHAnsi" w:cstheme="majorHAnsi"/>
          <w:b/>
          <w:bCs/>
          <w:color w:val="000000"/>
          <w:szCs w:val="20"/>
          <w:lang w:bidi="hi-IN"/>
        </w:rPr>
      </w:pPr>
      <w:r w:rsidRPr="000E731D">
        <w:rPr>
          <w:rFonts w:asciiTheme="majorHAnsi" w:eastAsia="MS Mincho" w:hAnsiTheme="majorHAnsi" w:cstheme="majorHAnsi"/>
          <w:b/>
          <w:bCs/>
          <w:color w:val="862633"/>
          <w:sz w:val="24"/>
          <w:lang w:bidi="hi-IN"/>
        </w:rPr>
        <w:t xml:space="preserve">What’s your </w:t>
      </w:r>
      <w:r w:rsidRPr="004304AA">
        <w:rPr>
          <w:rFonts w:asciiTheme="majorHAnsi" w:eastAsia="MS Mincho" w:hAnsiTheme="majorHAnsi" w:cstheme="majorHAnsi"/>
          <w:b/>
          <w:bCs/>
          <w:color w:val="862633"/>
          <w:sz w:val="24"/>
          <w:lang w:bidi="hi-IN"/>
        </w:rPr>
        <w:t>preservation</w:t>
      </w:r>
      <w:r w:rsidRPr="000E731D">
        <w:rPr>
          <w:rFonts w:asciiTheme="majorHAnsi" w:eastAsia="MS Mincho" w:hAnsiTheme="majorHAnsi" w:cstheme="majorHAnsi"/>
          <w:b/>
          <w:bCs/>
          <w:color w:val="862633"/>
          <w:sz w:val="24"/>
          <w:lang w:bidi="hi-IN"/>
        </w:rPr>
        <w:t xml:space="preserve"> age?</w:t>
      </w:r>
    </w:p>
    <w:p w14:paraId="0EC4B154" w14:textId="0EF4594C" w:rsidR="0012386C" w:rsidRPr="0010247D" w:rsidRDefault="004304AA" w:rsidP="000E731D">
      <w:pPr>
        <w:autoSpaceDE w:val="0"/>
        <w:autoSpaceDN w:val="0"/>
        <w:adjustRightInd w:val="0"/>
        <w:jc w:val="both"/>
        <w:rPr>
          <w:rFonts w:asciiTheme="majorHAnsi" w:eastAsia="MS Mincho" w:hAnsiTheme="majorHAnsi" w:cstheme="majorHAnsi"/>
          <w:b/>
          <w:bCs/>
          <w:color w:val="000000"/>
          <w:szCs w:val="20"/>
          <w:lang w:bidi="hi-IN"/>
        </w:rPr>
      </w:pPr>
      <w:r w:rsidRPr="004304AA">
        <w:rPr>
          <w:rFonts w:ascii="Arial" w:hAnsi="Arial" w:cs="Arial"/>
          <w:color w:val="2A2D35"/>
          <w:szCs w:val="20"/>
        </w:rPr>
        <w:t>By law, super contributions are generally locked away or ‘preserved’ until you reach your preservation age. Your preservation age is based on your date of birth (as set out in the table below). Once you reach your preservation age, you can start a transition to retirement income stream. You will need to check with your super fund as not all funds offer a transition to retirement income stream</w:t>
      </w:r>
      <w:r w:rsidR="0012386C">
        <w:rPr>
          <w:rFonts w:ascii="Arial" w:hAnsi="Arial" w:cs="Arial"/>
          <w:szCs w:val="20"/>
        </w:rPr>
        <w:br/>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89"/>
        <w:gridCol w:w="2327"/>
      </w:tblGrid>
      <w:tr w:rsidR="0012386C" w:rsidRPr="0028657D" w14:paraId="6D2ACF39" w14:textId="77777777" w:rsidTr="003B7B06">
        <w:tc>
          <w:tcPr>
            <w:tcW w:w="2689" w:type="dxa"/>
            <w:shd w:val="clear" w:color="auto" w:fill="862633"/>
            <w:vAlign w:val="center"/>
          </w:tcPr>
          <w:p w14:paraId="2AD3A8FA" w14:textId="77777777" w:rsidR="0012386C" w:rsidRPr="003B7B06" w:rsidRDefault="0012386C" w:rsidP="00BE19CC">
            <w:pPr>
              <w:autoSpaceDE w:val="0"/>
              <w:autoSpaceDN w:val="0"/>
              <w:adjustRightInd w:val="0"/>
              <w:spacing w:before="0" w:after="0" w:line="240" w:lineRule="auto"/>
              <w:rPr>
                <w:rFonts w:ascii="Arial" w:hAnsi="Arial" w:cs="Arial"/>
                <w:b/>
                <w:color w:val="FFFFFF" w:themeColor="background1"/>
                <w:sz w:val="22"/>
                <w:szCs w:val="22"/>
                <w:lang w:val="en-US" w:eastAsia="en-AU"/>
              </w:rPr>
            </w:pPr>
          </w:p>
          <w:p w14:paraId="150640E9" w14:textId="77777777" w:rsidR="0012386C" w:rsidRPr="004304AA" w:rsidRDefault="0012386C" w:rsidP="00BE19CC">
            <w:pPr>
              <w:autoSpaceDE w:val="0"/>
              <w:autoSpaceDN w:val="0"/>
              <w:adjustRightInd w:val="0"/>
              <w:spacing w:before="0" w:after="0" w:line="240" w:lineRule="auto"/>
              <w:rPr>
                <w:rFonts w:ascii="Arial" w:hAnsi="Arial" w:cs="Arial"/>
                <w:b/>
                <w:color w:val="FFFFFF" w:themeColor="background1"/>
                <w:szCs w:val="20"/>
                <w:lang w:val="en-US" w:eastAsia="en-AU"/>
              </w:rPr>
            </w:pPr>
            <w:r w:rsidRPr="004304AA">
              <w:rPr>
                <w:rFonts w:ascii="Arial" w:hAnsi="Arial" w:cs="Arial"/>
                <w:b/>
                <w:color w:val="FFFFFF" w:themeColor="background1"/>
                <w:szCs w:val="20"/>
                <w:lang w:val="en-US" w:eastAsia="en-AU"/>
              </w:rPr>
              <w:t>Date of birth</w:t>
            </w:r>
            <w:r w:rsidRPr="004304AA">
              <w:rPr>
                <w:rFonts w:ascii="Arial" w:hAnsi="Arial" w:cs="Arial"/>
                <w:b/>
                <w:color w:val="FFFFFF" w:themeColor="background1"/>
                <w:szCs w:val="20"/>
                <w:lang w:val="en-US" w:eastAsia="en-AU"/>
              </w:rPr>
              <w:br/>
            </w:r>
          </w:p>
        </w:tc>
        <w:tc>
          <w:tcPr>
            <w:tcW w:w="2327" w:type="dxa"/>
            <w:shd w:val="clear" w:color="auto" w:fill="862633"/>
            <w:vAlign w:val="center"/>
          </w:tcPr>
          <w:p w14:paraId="2BF4E610" w14:textId="77777777" w:rsidR="0012386C" w:rsidRPr="004304AA" w:rsidRDefault="0012386C" w:rsidP="00BE19CC">
            <w:pPr>
              <w:autoSpaceDE w:val="0"/>
              <w:autoSpaceDN w:val="0"/>
              <w:adjustRightInd w:val="0"/>
              <w:spacing w:before="0" w:after="0" w:line="240" w:lineRule="auto"/>
              <w:rPr>
                <w:rFonts w:ascii="Arial" w:hAnsi="Arial" w:cs="Arial"/>
                <w:b/>
                <w:color w:val="FFFFFF" w:themeColor="background1"/>
                <w:szCs w:val="20"/>
                <w:lang w:val="en-US" w:eastAsia="en-AU"/>
              </w:rPr>
            </w:pPr>
            <w:r w:rsidRPr="004304AA">
              <w:rPr>
                <w:rFonts w:ascii="Arial" w:hAnsi="Arial" w:cs="Arial"/>
                <w:b/>
                <w:color w:val="FFFFFF" w:themeColor="background1"/>
                <w:szCs w:val="20"/>
                <w:lang w:val="en-US" w:eastAsia="en-AU"/>
              </w:rPr>
              <w:t>Preservation age</w:t>
            </w:r>
          </w:p>
        </w:tc>
      </w:tr>
      <w:tr w:rsidR="0012386C" w:rsidRPr="0028657D" w14:paraId="02982BFF" w14:textId="77777777" w:rsidTr="003B7B06">
        <w:trPr>
          <w:trHeight w:val="354"/>
        </w:trPr>
        <w:tc>
          <w:tcPr>
            <w:tcW w:w="2689" w:type="dxa"/>
            <w:shd w:val="clear" w:color="auto" w:fill="D9D9D9" w:themeFill="background1" w:themeFillShade="D9"/>
            <w:vAlign w:val="center"/>
          </w:tcPr>
          <w:p w14:paraId="1E5CAEA0" w14:textId="77777777" w:rsidR="0012386C" w:rsidRPr="0028657D" w:rsidRDefault="0012386C" w:rsidP="00BE19CC">
            <w:pPr>
              <w:autoSpaceDE w:val="0"/>
              <w:autoSpaceDN w:val="0"/>
              <w:adjustRightInd w:val="0"/>
              <w:spacing w:before="0" w:after="0" w:line="240" w:lineRule="auto"/>
              <w:rPr>
                <w:rFonts w:ascii="Arial" w:hAnsi="Arial" w:cs="Arial"/>
                <w:szCs w:val="20"/>
                <w:lang w:val="en-US" w:eastAsia="en-AU"/>
              </w:rPr>
            </w:pPr>
            <w:r w:rsidRPr="0028657D">
              <w:rPr>
                <w:rFonts w:ascii="Arial" w:hAnsi="Arial" w:cs="Arial"/>
                <w:szCs w:val="20"/>
                <w:lang w:val="en-US" w:eastAsia="en-AU"/>
              </w:rPr>
              <w:t>Before 1 July 1960</w:t>
            </w:r>
          </w:p>
        </w:tc>
        <w:tc>
          <w:tcPr>
            <w:tcW w:w="2327" w:type="dxa"/>
            <w:shd w:val="clear" w:color="auto" w:fill="D9D9D9" w:themeFill="background1" w:themeFillShade="D9"/>
            <w:vAlign w:val="center"/>
          </w:tcPr>
          <w:p w14:paraId="64A3FFC6" w14:textId="77777777" w:rsidR="0012386C" w:rsidRPr="0028657D" w:rsidRDefault="0012386C" w:rsidP="00BE19CC">
            <w:pPr>
              <w:autoSpaceDE w:val="0"/>
              <w:autoSpaceDN w:val="0"/>
              <w:adjustRightInd w:val="0"/>
              <w:spacing w:before="0" w:after="0" w:line="240" w:lineRule="auto"/>
              <w:rPr>
                <w:rFonts w:ascii="Arial" w:hAnsi="Arial" w:cs="Arial"/>
                <w:szCs w:val="20"/>
                <w:lang w:val="en-US" w:eastAsia="en-AU"/>
              </w:rPr>
            </w:pPr>
            <w:r w:rsidRPr="0028657D">
              <w:rPr>
                <w:rFonts w:ascii="Arial" w:hAnsi="Arial" w:cs="Arial"/>
                <w:szCs w:val="20"/>
                <w:lang w:val="en-US" w:eastAsia="en-AU"/>
              </w:rPr>
              <w:t>55</w:t>
            </w:r>
          </w:p>
        </w:tc>
      </w:tr>
      <w:tr w:rsidR="0012386C" w:rsidRPr="0028657D" w14:paraId="27307F2C" w14:textId="77777777" w:rsidTr="003B7B06">
        <w:trPr>
          <w:trHeight w:val="331"/>
        </w:trPr>
        <w:tc>
          <w:tcPr>
            <w:tcW w:w="2689" w:type="dxa"/>
            <w:shd w:val="clear" w:color="auto" w:fill="D9D9D9" w:themeFill="background1" w:themeFillShade="D9"/>
            <w:vAlign w:val="center"/>
          </w:tcPr>
          <w:p w14:paraId="22DC79AE" w14:textId="77777777" w:rsidR="0012386C" w:rsidRPr="0028657D" w:rsidRDefault="0012386C" w:rsidP="00BE19CC">
            <w:pPr>
              <w:autoSpaceDE w:val="0"/>
              <w:autoSpaceDN w:val="0"/>
              <w:adjustRightInd w:val="0"/>
              <w:spacing w:before="0" w:after="0" w:line="240" w:lineRule="auto"/>
              <w:rPr>
                <w:rFonts w:ascii="Arial" w:hAnsi="Arial" w:cs="Arial"/>
                <w:szCs w:val="20"/>
                <w:lang w:val="en-US" w:eastAsia="en-AU"/>
              </w:rPr>
            </w:pPr>
            <w:r w:rsidRPr="0028657D">
              <w:rPr>
                <w:rFonts w:ascii="Arial" w:hAnsi="Arial" w:cs="Arial"/>
                <w:szCs w:val="20"/>
                <w:lang w:val="en-US" w:eastAsia="en-AU"/>
              </w:rPr>
              <w:t>1 July 1960 – 30 June 1961</w:t>
            </w:r>
          </w:p>
        </w:tc>
        <w:tc>
          <w:tcPr>
            <w:tcW w:w="2327" w:type="dxa"/>
            <w:shd w:val="clear" w:color="auto" w:fill="D9D9D9" w:themeFill="background1" w:themeFillShade="D9"/>
            <w:vAlign w:val="center"/>
          </w:tcPr>
          <w:p w14:paraId="7F34C9D9" w14:textId="77777777" w:rsidR="0012386C" w:rsidRPr="0028657D" w:rsidRDefault="0012386C" w:rsidP="00BE19CC">
            <w:pPr>
              <w:autoSpaceDE w:val="0"/>
              <w:autoSpaceDN w:val="0"/>
              <w:adjustRightInd w:val="0"/>
              <w:spacing w:before="0" w:after="0" w:line="240" w:lineRule="auto"/>
              <w:rPr>
                <w:rFonts w:ascii="Arial" w:hAnsi="Arial" w:cs="Arial"/>
                <w:szCs w:val="20"/>
                <w:lang w:val="en-US" w:eastAsia="en-AU"/>
              </w:rPr>
            </w:pPr>
            <w:r w:rsidRPr="0028657D">
              <w:rPr>
                <w:rFonts w:ascii="Arial" w:hAnsi="Arial" w:cs="Arial"/>
                <w:szCs w:val="20"/>
                <w:lang w:val="en-US" w:eastAsia="en-AU"/>
              </w:rPr>
              <w:t>56</w:t>
            </w:r>
          </w:p>
        </w:tc>
      </w:tr>
      <w:tr w:rsidR="0012386C" w:rsidRPr="0028657D" w14:paraId="35B55C28" w14:textId="77777777" w:rsidTr="003B7B06">
        <w:trPr>
          <w:trHeight w:val="408"/>
        </w:trPr>
        <w:tc>
          <w:tcPr>
            <w:tcW w:w="2689" w:type="dxa"/>
            <w:shd w:val="clear" w:color="auto" w:fill="D9D9D9" w:themeFill="background1" w:themeFillShade="D9"/>
            <w:vAlign w:val="center"/>
          </w:tcPr>
          <w:p w14:paraId="0A8B7FD9" w14:textId="77777777" w:rsidR="0012386C" w:rsidRPr="0028657D" w:rsidRDefault="0012386C" w:rsidP="00BE19CC">
            <w:pPr>
              <w:autoSpaceDE w:val="0"/>
              <w:autoSpaceDN w:val="0"/>
              <w:adjustRightInd w:val="0"/>
              <w:spacing w:before="0" w:after="0" w:line="240" w:lineRule="auto"/>
              <w:rPr>
                <w:rFonts w:ascii="Arial" w:hAnsi="Arial" w:cs="Arial"/>
                <w:szCs w:val="20"/>
                <w:lang w:val="en-US" w:eastAsia="en-AU"/>
              </w:rPr>
            </w:pPr>
            <w:r w:rsidRPr="0028657D">
              <w:rPr>
                <w:rFonts w:ascii="Arial" w:hAnsi="Arial" w:cs="Arial"/>
                <w:szCs w:val="20"/>
                <w:lang w:val="en-US" w:eastAsia="en-AU"/>
              </w:rPr>
              <w:t>1 July 1961 – 30 June 1962</w:t>
            </w:r>
          </w:p>
        </w:tc>
        <w:tc>
          <w:tcPr>
            <w:tcW w:w="2327" w:type="dxa"/>
            <w:shd w:val="clear" w:color="auto" w:fill="D9D9D9" w:themeFill="background1" w:themeFillShade="D9"/>
            <w:vAlign w:val="center"/>
          </w:tcPr>
          <w:p w14:paraId="24B4588A" w14:textId="77777777" w:rsidR="0012386C" w:rsidRPr="0028657D" w:rsidRDefault="0012386C" w:rsidP="00BE19CC">
            <w:pPr>
              <w:autoSpaceDE w:val="0"/>
              <w:autoSpaceDN w:val="0"/>
              <w:adjustRightInd w:val="0"/>
              <w:spacing w:before="0" w:after="0" w:line="240" w:lineRule="auto"/>
              <w:rPr>
                <w:rFonts w:ascii="Arial" w:hAnsi="Arial" w:cs="Arial"/>
                <w:szCs w:val="20"/>
                <w:lang w:val="en-US" w:eastAsia="en-AU"/>
              </w:rPr>
            </w:pPr>
            <w:r w:rsidRPr="0028657D">
              <w:rPr>
                <w:rFonts w:ascii="Arial" w:hAnsi="Arial" w:cs="Arial"/>
                <w:szCs w:val="20"/>
                <w:lang w:val="en-US" w:eastAsia="en-AU"/>
              </w:rPr>
              <w:t>57</w:t>
            </w:r>
          </w:p>
        </w:tc>
      </w:tr>
      <w:tr w:rsidR="0012386C" w:rsidRPr="0028657D" w14:paraId="2C70828B" w14:textId="77777777" w:rsidTr="003B7B06">
        <w:trPr>
          <w:trHeight w:val="414"/>
        </w:trPr>
        <w:tc>
          <w:tcPr>
            <w:tcW w:w="2689" w:type="dxa"/>
            <w:shd w:val="clear" w:color="auto" w:fill="D9D9D9" w:themeFill="background1" w:themeFillShade="D9"/>
            <w:vAlign w:val="center"/>
          </w:tcPr>
          <w:p w14:paraId="099D42F3" w14:textId="77777777" w:rsidR="0012386C" w:rsidRPr="0028657D" w:rsidRDefault="0012386C" w:rsidP="00BE19CC">
            <w:pPr>
              <w:autoSpaceDE w:val="0"/>
              <w:autoSpaceDN w:val="0"/>
              <w:adjustRightInd w:val="0"/>
              <w:spacing w:before="0" w:after="0" w:line="240" w:lineRule="auto"/>
              <w:rPr>
                <w:rFonts w:ascii="Arial" w:hAnsi="Arial" w:cs="Arial"/>
                <w:szCs w:val="20"/>
                <w:lang w:val="en-US" w:eastAsia="en-AU"/>
              </w:rPr>
            </w:pPr>
            <w:r w:rsidRPr="0028657D">
              <w:rPr>
                <w:rFonts w:ascii="Arial" w:hAnsi="Arial" w:cs="Arial"/>
                <w:szCs w:val="20"/>
                <w:lang w:val="en-US" w:eastAsia="en-AU"/>
              </w:rPr>
              <w:t>1 July 1962 – 30 June 1963</w:t>
            </w:r>
          </w:p>
        </w:tc>
        <w:tc>
          <w:tcPr>
            <w:tcW w:w="2327" w:type="dxa"/>
            <w:shd w:val="clear" w:color="auto" w:fill="D9D9D9" w:themeFill="background1" w:themeFillShade="D9"/>
            <w:vAlign w:val="center"/>
          </w:tcPr>
          <w:p w14:paraId="711E24A3" w14:textId="77777777" w:rsidR="0012386C" w:rsidRPr="0028657D" w:rsidRDefault="0012386C" w:rsidP="00BE19CC">
            <w:pPr>
              <w:autoSpaceDE w:val="0"/>
              <w:autoSpaceDN w:val="0"/>
              <w:adjustRightInd w:val="0"/>
              <w:spacing w:before="0" w:after="0" w:line="240" w:lineRule="auto"/>
              <w:rPr>
                <w:rFonts w:ascii="Arial" w:hAnsi="Arial" w:cs="Arial"/>
                <w:szCs w:val="20"/>
                <w:lang w:val="en-US" w:eastAsia="en-AU"/>
              </w:rPr>
            </w:pPr>
            <w:r w:rsidRPr="0028657D">
              <w:rPr>
                <w:rFonts w:ascii="Arial" w:hAnsi="Arial" w:cs="Arial"/>
                <w:szCs w:val="20"/>
                <w:lang w:val="en-US" w:eastAsia="en-AU"/>
              </w:rPr>
              <w:t>58</w:t>
            </w:r>
          </w:p>
        </w:tc>
      </w:tr>
      <w:tr w:rsidR="0012386C" w:rsidRPr="0028657D" w14:paraId="56B1E1A9" w14:textId="77777777" w:rsidTr="003B7B06">
        <w:trPr>
          <w:trHeight w:val="317"/>
        </w:trPr>
        <w:tc>
          <w:tcPr>
            <w:tcW w:w="2689" w:type="dxa"/>
            <w:shd w:val="clear" w:color="auto" w:fill="D9D9D9" w:themeFill="background1" w:themeFillShade="D9"/>
            <w:vAlign w:val="center"/>
          </w:tcPr>
          <w:p w14:paraId="734CD5C0" w14:textId="77777777" w:rsidR="0012386C" w:rsidRPr="0028657D" w:rsidRDefault="0012386C" w:rsidP="00BE19CC">
            <w:pPr>
              <w:autoSpaceDE w:val="0"/>
              <w:autoSpaceDN w:val="0"/>
              <w:adjustRightInd w:val="0"/>
              <w:spacing w:before="0" w:after="0" w:line="240" w:lineRule="auto"/>
              <w:rPr>
                <w:rFonts w:ascii="Arial" w:hAnsi="Arial" w:cs="Arial"/>
                <w:szCs w:val="20"/>
                <w:lang w:val="en-US" w:eastAsia="en-AU"/>
              </w:rPr>
            </w:pPr>
            <w:r w:rsidRPr="0028657D">
              <w:rPr>
                <w:rFonts w:ascii="Arial" w:hAnsi="Arial" w:cs="Arial"/>
                <w:szCs w:val="20"/>
                <w:lang w:val="en-US" w:eastAsia="en-AU"/>
              </w:rPr>
              <w:t>1 July 1963 – 30 June 1964</w:t>
            </w:r>
          </w:p>
        </w:tc>
        <w:tc>
          <w:tcPr>
            <w:tcW w:w="2327" w:type="dxa"/>
            <w:shd w:val="clear" w:color="auto" w:fill="D9D9D9" w:themeFill="background1" w:themeFillShade="D9"/>
            <w:vAlign w:val="center"/>
          </w:tcPr>
          <w:p w14:paraId="65B11CFC" w14:textId="77777777" w:rsidR="0012386C" w:rsidRPr="0028657D" w:rsidRDefault="0012386C" w:rsidP="00BE19CC">
            <w:pPr>
              <w:autoSpaceDE w:val="0"/>
              <w:autoSpaceDN w:val="0"/>
              <w:adjustRightInd w:val="0"/>
              <w:spacing w:before="0" w:after="0" w:line="240" w:lineRule="auto"/>
              <w:rPr>
                <w:rFonts w:ascii="Arial" w:hAnsi="Arial" w:cs="Arial"/>
                <w:szCs w:val="20"/>
                <w:lang w:val="en-US" w:eastAsia="en-AU"/>
              </w:rPr>
            </w:pPr>
            <w:r w:rsidRPr="0028657D">
              <w:rPr>
                <w:rFonts w:ascii="Arial" w:hAnsi="Arial" w:cs="Arial"/>
                <w:szCs w:val="20"/>
                <w:lang w:val="en-US" w:eastAsia="en-AU"/>
              </w:rPr>
              <w:t>59</w:t>
            </w:r>
          </w:p>
        </w:tc>
      </w:tr>
      <w:tr w:rsidR="0012386C" w:rsidRPr="0028657D" w14:paraId="3A2A043B" w14:textId="77777777" w:rsidTr="003B7B06">
        <w:trPr>
          <w:trHeight w:val="380"/>
        </w:trPr>
        <w:tc>
          <w:tcPr>
            <w:tcW w:w="2689" w:type="dxa"/>
            <w:shd w:val="clear" w:color="auto" w:fill="D9D9D9" w:themeFill="background1" w:themeFillShade="D9"/>
            <w:vAlign w:val="center"/>
          </w:tcPr>
          <w:p w14:paraId="012B02BD" w14:textId="77777777" w:rsidR="0012386C" w:rsidRPr="0028657D" w:rsidRDefault="0012386C" w:rsidP="00BE19CC">
            <w:pPr>
              <w:autoSpaceDE w:val="0"/>
              <w:autoSpaceDN w:val="0"/>
              <w:adjustRightInd w:val="0"/>
              <w:spacing w:before="0" w:after="0" w:line="240" w:lineRule="auto"/>
              <w:rPr>
                <w:rFonts w:ascii="Arial" w:hAnsi="Arial" w:cs="Arial"/>
                <w:szCs w:val="20"/>
                <w:lang w:val="en-US" w:eastAsia="en-AU"/>
              </w:rPr>
            </w:pPr>
            <w:r w:rsidRPr="0028657D">
              <w:rPr>
                <w:rFonts w:ascii="Arial" w:hAnsi="Arial" w:cs="Arial"/>
                <w:szCs w:val="20"/>
                <w:lang w:val="en-US" w:eastAsia="en-AU"/>
              </w:rPr>
              <w:t>On or after 1 July 1964</w:t>
            </w:r>
          </w:p>
        </w:tc>
        <w:tc>
          <w:tcPr>
            <w:tcW w:w="2327" w:type="dxa"/>
            <w:shd w:val="clear" w:color="auto" w:fill="D9D9D9" w:themeFill="background1" w:themeFillShade="D9"/>
            <w:vAlign w:val="center"/>
          </w:tcPr>
          <w:p w14:paraId="6A14C72D" w14:textId="77777777" w:rsidR="0012386C" w:rsidRPr="0028657D" w:rsidRDefault="0012386C" w:rsidP="00BE19CC">
            <w:pPr>
              <w:autoSpaceDE w:val="0"/>
              <w:autoSpaceDN w:val="0"/>
              <w:adjustRightInd w:val="0"/>
              <w:spacing w:before="0" w:after="0" w:line="240" w:lineRule="auto"/>
              <w:rPr>
                <w:rFonts w:ascii="Arial" w:hAnsi="Arial" w:cs="Arial"/>
                <w:szCs w:val="20"/>
                <w:lang w:val="en-US" w:eastAsia="en-AU"/>
              </w:rPr>
            </w:pPr>
            <w:r w:rsidRPr="0028657D">
              <w:rPr>
                <w:rFonts w:ascii="Arial" w:hAnsi="Arial" w:cs="Arial"/>
                <w:szCs w:val="20"/>
                <w:lang w:val="en-US" w:eastAsia="en-AU"/>
              </w:rPr>
              <w:t>60</w:t>
            </w:r>
          </w:p>
        </w:tc>
      </w:tr>
    </w:tbl>
    <w:p w14:paraId="1A7D219C" w14:textId="7567244A" w:rsidR="000E731D" w:rsidRDefault="0012386C" w:rsidP="0012386C">
      <w:pPr>
        <w:autoSpaceDE w:val="0"/>
        <w:autoSpaceDN w:val="0"/>
        <w:adjustRightInd w:val="0"/>
        <w:rPr>
          <w:rFonts w:asciiTheme="majorHAnsi" w:eastAsia="MS Mincho" w:hAnsiTheme="majorHAnsi" w:cstheme="majorHAnsi"/>
          <w:b/>
          <w:bCs/>
          <w:color w:val="862633"/>
          <w:sz w:val="24"/>
          <w:lang w:bidi="hi-IN"/>
        </w:rPr>
      </w:pPr>
      <w:r w:rsidRPr="000E731D">
        <w:rPr>
          <w:rFonts w:asciiTheme="majorHAnsi" w:eastAsia="MS Mincho" w:hAnsiTheme="majorHAnsi" w:cstheme="majorHAnsi"/>
          <w:b/>
          <w:bCs/>
          <w:color w:val="862633"/>
          <w:sz w:val="24"/>
          <w:lang w:bidi="hi-IN"/>
        </w:rPr>
        <w:t>What is a transition to retirement income stream?</w:t>
      </w:r>
    </w:p>
    <w:p w14:paraId="22B1CCF8" w14:textId="77777777" w:rsidR="004304AA" w:rsidRPr="004304AA" w:rsidRDefault="004304AA" w:rsidP="004304AA">
      <w:pPr>
        <w:autoSpaceDE w:val="0"/>
        <w:autoSpaceDN w:val="0"/>
        <w:adjustRightInd w:val="0"/>
        <w:jc w:val="both"/>
        <w:rPr>
          <w:rFonts w:ascii="Arial" w:hAnsi="Arial" w:cs="Arial"/>
          <w:color w:val="2A2D35"/>
          <w:szCs w:val="20"/>
        </w:rPr>
      </w:pPr>
      <w:r w:rsidRPr="004304AA">
        <w:rPr>
          <w:rFonts w:ascii="Arial" w:hAnsi="Arial" w:cs="Arial"/>
          <w:color w:val="2A2D35"/>
          <w:szCs w:val="20"/>
        </w:rPr>
        <w:t>A transition to retirement income stream allows you to draw a regular income from your super while you’re still working, provided you have reached your preservation age. There are restrictions on accessing your super as a lump sum, and limits to the level of payments you can receive each year, during this pre-retirement phase.</w:t>
      </w:r>
    </w:p>
    <w:p w14:paraId="1A10FD18" w14:textId="77777777" w:rsidR="004304AA" w:rsidRPr="004304AA" w:rsidRDefault="004304AA" w:rsidP="004304AA">
      <w:pPr>
        <w:autoSpaceDE w:val="0"/>
        <w:autoSpaceDN w:val="0"/>
        <w:adjustRightInd w:val="0"/>
        <w:jc w:val="both"/>
        <w:rPr>
          <w:rFonts w:ascii="Arial" w:hAnsi="Arial" w:cs="Arial"/>
          <w:color w:val="2A2D35"/>
          <w:szCs w:val="20"/>
        </w:rPr>
      </w:pPr>
      <w:r w:rsidRPr="004304AA">
        <w:rPr>
          <w:rFonts w:ascii="Arial" w:hAnsi="Arial" w:cs="Arial"/>
          <w:color w:val="2A2D35"/>
          <w:szCs w:val="20"/>
        </w:rPr>
        <w:t xml:space="preserve">Unlike retirement phase income streams, which are subject to a $1.6 million ‘transfer balance cap’ from 1 July 2017, there is generally no limit to how much you can transfer into a transition to retirement income stream from your super savings. </w:t>
      </w:r>
      <w:proofErr w:type="gramStart"/>
      <w:r w:rsidRPr="004304AA">
        <w:rPr>
          <w:rFonts w:ascii="Arial" w:hAnsi="Arial" w:cs="Arial"/>
          <w:color w:val="2A2D35"/>
          <w:szCs w:val="20"/>
        </w:rPr>
        <w:t>So</w:t>
      </w:r>
      <w:proofErr w:type="gramEnd"/>
      <w:r w:rsidRPr="004304AA">
        <w:rPr>
          <w:rFonts w:ascii="Arial" w:hAnsi="Arial" w:cs="Arial"/>
          <w:color w:val="2A2D35"/>
          <w:szCs w:val="20"/>
        </w:rPr>
        <w:t xml:space="preserve"> you don’t have to worry about excess transfer balances until you reach age 65 or notify your fund that you have met another eligible condition of release such as retirement.</w:t>
      </w:r>
    </w:p>
    <w:p w14:paraId="34654CC7" w14:textId="6F9EAECB" w:rsidR="000E731D" w:rsidRDefault="004304AA" w:rsidP="004304AA">
      <w:pPr>
        <w:autoSpaceDE w:val="0"/>
        <w:autoSpaceDN w:val="0"/>
        <w:adjustRightInd w:val="0"/>
        <w:jc w:val="both"/>
        <w:rPr>
          <w:rFonts w:ascii="Arial" w:hAnsi="Arial" w:cs="Arial"/>
          <w:color w:val="2A2D35"/>
          <w:szCs w:val="20"/>
        </w:rPr>
      </w:pPr>
      <w:r w:rsidRPr="004304AA">
        <w:rPr>
          <w:rFonts w:ascii="Arial" w:hAnsi="Arial" w:cs="Arial"/>
          <w:color w:val="2A2D35"/>
          <w:szCs w:val="20"/>
        </w:rPr>
        <w:t>Since 1 July 2017, earnings on assets supporting transition to retirement income streams are taxed at up to 15% in the same way as assets supporting your accumulation phase super (prior to 1 July 2017, earnings on assets supporting transition to retirement income streams were tax free). However, once you reach age 65 or notify your fund that you have retired, are incapacitated or have a terminal illness, the assets supporting transition to retirement income streams are tax free – at that time the value of your transition to retirement income stream counts towards your transfer balance cap.</w:t>
      </w:r>
    </w:p>
    <w:p w14:paraId="35A48BD8" w14:textId="77777777" w:rsidR="004304AA" w:rsidRPr="004304AA" w:rsidRDefault="004304AA" w:rsidP="004304AA">
      <w:pPr>
        <w:autoSpaceDE w:val="0"/>
        <w:autoSpaceDN w:val="0"/>
        <w:adjustRightInd w:val="0"/>
        <w:jc w:val="both"/>
        <w:rPr>
          <w:rFonts w:ascii="Arial" w:hAnsi="Arial" w:cs="Arial"/>
          <w:color w:val="2A2D35"/>
          <w:szCs w:val="20"/>
        </w:rPr>
      </w:pPr>
    </w:p>
    <w:p w14:paraId="54727754" w14:textId="10E821CC" w:rsidR="000E731D" w:rsidRDefault="0012386C" w:rsidP="0012386C">
      <w:pPr>
        <w:autoSpaceDE w:val="0"/>
        <w:autoSpaceDN w:val="0"/>
        <w:adjustRightInd w:val="0"/>
        <w:rPr>
          <w:rFonts w:asciiTheme="majorHAnsi" w:eastAsia="MS Mincho" w:hAnsiTheme="majorHAnsi" w:cstheme="majorHAnsi"/>
          <w:b/>
          <w:bCs/>
          <w:color w:val="862633"/>
          <w:sz w:val="24"/>
          <w:lang w:bidi="hi-IN"/>
        </w:rPr>
      </w:pPr>
      <w:r w:rsidRPr="000E731D">
        <w:rPr>
          <w:rFonts w:asciiTheme="majorHAnsi" w:eastAsia="MS Mincho" w:hAnsiTheme="majorHAnsi" w:cstheme="majorHAnsi"/>
          <w:b/>
          <w:bCs/>
          <w:color w:val="862633"/>
          <w:sz w:val="24"/>
          <w:lang w:bidi="hi-IN"/>
        </w:rPr>
        <w:t>Why start a transition to retirement income stream?</w:t>
      </w:r>
    </w:p>
    <w:p w14:paraId="370D495D" w14:textId="77777777" w:rsidR="004304AA" w:rsidRPr="004304AA" w:rsidRDefault="004304AA" w:rsidP="004304AA">
      <w:pPr>
        <w:autoSpaceDE w:val="0"/>
        <w:autoSpaceDN w:val="0"/>
        <w:adjustRightInd w:val="0"/>
        <w:jc w:val="both"/>
        <w:rPr>
          <w:rFonts w:ascii="Arial" w:hAnsi="Arial" w:cs="Arial"/>
          <w:color w:val="2A2D35"/>
          <w:szCs w:val="20"/>
        </w:rPr>
      </w:pPr>
      <w:r w:rsidRPr="004304AA">
        <w:rPr>
          <w:rFonts w:ascii="Arial" w:hAnsi="Arial" w:cs="Arial"/>
          <w:color w:val="2A2D35"/>
          <w:szCs w:val="20"/>
        </w:rPr>
        <w:t xml:space="preserve">If you would like to ease your way into retirement, a transition to retirement strategy could enable you to reduce the number of hours you work. While working less will mean a smaller pay packet, if you decide to take out a transition to retirement income stream, you could supplement your work income with the pension payments. This would give you more time to do the things you enjoy, while maintaining your pre-retirement income </w:t>
      </w:r>
      <w:r w:rsidRPr="004304AA">
        <w:rPr>
          <w:rFonts w:ascii="Arial" w:hAnsi="Arial" w:cs="Arial"/>
          <w:color w:val="2A2D35"/>
          <w:szCs w:val="20"/>
        </w:rPr>
        <w:lastRenderedPageBreak/>
        <w:t>and lifestyle. Your retirement savings will be reduced by this strategy.</w:t>
      </w:r>
    </w:p>
    <w:p w14:paraId="7D8FD297" w14:textId="77777777" w:rsidR="004304AA" w:rsidRPr="004304AA" w:rsidRDefault="004304AA" w:rsidP="004304AA">
      <w:pPr>
        <w:autoSpaceDE w:val="0"/>
        <w:autoSpaceDN w:val="0"/>
        <w:adjustRightInd w:val="0"/>
        <w:jc w:val="both"/>
        <w:rPr>
          <w:rFonts w:ascii="Arial" w:hAnsi="Arial" w:cs="Arial"/>
          <w:color w:val="2A2D35"/>
          <w:szCs w:val="20"/>
        </w:rPr>
      </w:pPr>
      <w:r w:rsidRPr="004304AA">
        <w:rPr>
          <w:rFonts w:ascii="Arial" w:hAnsi="Arial" w:cs="Arial"/>
          <w:color w:val="2A2D35"/>
          <w:szCs w:val="20"/>
        </w:rPr>
        <w:t>If you continue to work without reducing your working hours, a transition to retirement income stream gives you the flexibility to drawdown a pension income and at the same time make pre-tax super contributions (e.g. through salary sacrifice), in a way that may be more tax effective than just relying on your salary alone. Depending on your personal circumstances and tax position, you may pay less tax on your income stream income than you would on the same amount of salary or wages. Implemented correctly, the tax savings from this strategy can help boost your retirement savings.</w:t>
      </w:r>
    </w:p>
    <w:p w14:paraId="799A88EF" w14:textId="0E2A085F" w:rsidR="0012386C" w:rsidRPr="004304AA" w:rsidRDefault="0012386C" w:rsidP="004304AA">
      <w:pPr>
        <w:autoSpaceDE w:val="0"/>
        <w:autoSpaceDN w:val="0"/>
        <w:adjustRightInd w:val="0"/>
        <w:jc w:val="both"/>
        <w:rPr>
          <w:rFonts w:ascii="Arial" w:hAnsi="Arial" w:cs="Arial"/>
          <w:color w:val="2A2D35"/>
          <w:szCs w:val="20"/>
        </w:rPr>
      </w:pPr>
      <w:r w:rsidRPr="004304AA">
        <w:rPr>
          <w:rFonts w:ascii="Arial" w:hAnsi="Arial" w:cs="Arial"/>
          <w:color w:val="2A2D35"/>
          <w:szCs w:val="20"/>
        </w:rPr>
        <w:t>Depending on your circumstances, it could also be beneficial to use payments from your transition to retirement income stream to:</w:t>
      </w:r>
    </w:p>
    <w:p w14:paraId="285388DE" w14:textId="77777777" w:rsidR="00933D4C" w:rsidRPr="004304AA" w:rsidRDefault="0012386C" w:rsidP="00AC428B">
      <w:pPr>
        <w:pStyle w:val="ListParagraph"/>
        <w:numPr>
          <w:ilvl w:val="0"/>
          <w:numId w:val="51"/>
        </w:numPr>
        <w:autoSpaceDE w:val="0"/>
        <w:autoSpaceDN w:val="0"/>
        <w:adjustRightInd w:val="0"/>
        <w:rPr>
          <w:rFonts w:ascii="Arial" w:hAnsi="Arial" w:cs="Arial"/>
          <w:color w:val="2A2D35"/>
        </w:rPr>
      </w:pPr>
      <w:r w:rsidRPr="004304AA">
        <w:rPr>
          <w:rFonts w:ascii="Arial" w:hAnsi="Arial" w:cs="Arial"/>
          <w:color w:val="2A2D35"/>
        </w:rPr>
        <w:t>make after tax contributions to your super account</w:t>
      </w:r>
    </w:p>
    <w:p w14:paraId="428F9EAC" w14:textId="27B68404" w:rsidR="0012386C" w:rsidRPr="004304AA" w:rsidRDefault="0012386C" w:rsidP="00AC428B">
      <w:pPr>
        <w:pStyle w:val="ListParagraph"/>
        <w:numPr>
          <w:ilvl w:val="0"/>
          <w:numId w:val="51"/>
        </w:numPr>
        <w:autoSpaceDE w:val="0"/>
        <w:autoSpaceDN w:val="0"/>
        <w:adjustRightInd w:val="0"/>
        <w:rPr>
          <w:rFonts w:ascii="Arial" w:hAnsi="Arial" w:cs="Arial"/>
          <w:color w:val="2A2D35"/>
        </w:rPr>
      </w:pPr>
      <w:r w:rsidRPr="004304AA">
        <w:rPr>
          <w:rFonts w:ascii="Arial" w:hAnsi="Arial" w:cs="Arial"/>
          <w:color w:val="2A2D35"/>
        </w:rPr>
        <w:t>make contributions to your spouse’s super account</w:t>
      </w:r>
    </w:p>
    <w:p w14:paraId="1AC6F7DD" w14:textId="77777777" w:rsidR="0012386C" w:rsidRPr="004304AA" w:rsidRDefault="0012386C" w:rsidP="0012386C">
      <w:pPr>
        <w:pStyle w:val="ListParagraph"/>
        <w:numPr>
          <w:ilvl w:val="0"/>
          <w:numId w:val="51"/>
        </w:numPr>
        <w:autoSpaceDE w:val="0"/>
        <w:autoSpaceDN w:val="0"/>
        <w:adjustRightInd w:val="0"/>
        <w:rPr>
          <w:rFonts w:ascii="Arial" w:hAnsi="Arial" w:cs="Arial"/>
          <w:color w:val="2A2D35"/>
        </w:rPr>
      </w:pPr>
      <w:r w:rsidRPr="004304AA">
        <w:rPr>
          <w:rFonts w:ascii="Arial" w:hAnsi="Arial" w:cs="Arial"/>
          <w:color w:val="2A2D35"/>
        </w:rPr>
        <w:t>pay off debt.</w:t>
      </w:r>
    </w:p>
    <w:p w14:paraId="57FC6F57" w14:textId="77777777" w:rsidR="000E731D" w:rsidRDefault="000E731D" w:rsidP="0012386C">
      <w:pPr>
        <w:autoSpaceDE w:val="0"/>
        <w:autoSpaceDN w:val="0"/>
        <w:adjustRightInd w:val="0"/>
        <w:rPr>
          <w:rFonts w:asciiTheme="majorHAnsi" w:eastAsia="MS Mincho" w:hAnsiTheme="majorHAnsi" w:cstheme="majorHAnsi"/>
          <w:b/>
          <w:bCs/>
          <w:color w:val="862633"/>
          <w:sz w:val="24"/>
          <w:lang w:bidi="hi-IN"/>
        </w:rPr>
      </w:pPr>
    </w:p>
    <w:p w14:paraId="2A02F0EB" w14:textId="2259541C" w:rsidR="000E731D" w:rsidRDefault="000E731D" w:rsidP="0012386C">
      <w:pPr>
        <w:autoSpaceDE w:val="0"/>
        <w:autoSpaceDN w:val="0"/>
        <w:adjustRightInd w:val="0"/>
        <w:rPr>
          <w:rFonts w:asciiTheme="majorHAnsi" w:eastAsia="MS Mincho" w:hAnsiTheme="majorHAnsi" w:cstheme="majorHAnsi"/>
          <w:b/>
          <w:bCs/>
          <w:color w:val="862633"/>
          <w:sz w:val="24"/>
          <w:lang w:bidi="hi-IN"/>
        </w:rPr>
      </w:pPr>
      <w:r>
        <w:rPr>
          <w:rFonts w:asciiTheme="majorHAnsi" w:eastAsia="MS Mincho" w:hAnsiTheme="majorHAnsi" w:cstheme="majorHAnsi"/>
          <w:b/>
          <w:bCs/>
          <w:color w:val="862633"/>
          <w:sz w:val="24"/>
          <w:lang w:bidi="hi-IN"/>
        </w:rPr>
        <w:t>I</w:t>
      </w:r>
      <w:r w:rsidR="0012386C" w:rsidRPr="000E731D">
        <w:rPr>
          <w:rFonts w:asciiTheme="majorHAnsi" w:eastAsia="MS Mincho" w:hAnsiTheme="majorHAnsi" w:cstheme="majorHAnsi"/>
          <w:b/>
          <w:bCs/>
          <w:color w:val="862633"/>
          <w:sz w:val="24"/>
          <w:lang w:bidi="hi-IN"/>
        </w:rPr>
        <w:t xml:space="preserve">s a transition to retirement income stream </w:t>
      </w:r>
      <w:r w:rsidR="0012386C" w:rsidRPr="000E731D">
        <w:rPr>
          <w:rFonts w:asciiTheme="majorHAnsi" w:eastAsia="MS Mincho" w:hAnsiTheme="majorHAnsi" w:cstheme="majorHAnsi"/>
          <w:b/>
          <w:bCs/>
          <w:color w:val="862633"/>
          <w:sz w:val="24"/>
          <w:lang w:bidi="hi-IN"/>
        </w:rPr>
        <w:br/>
        <w:t>right for you?</w:t>
      </w:r>
    </w:p>
    <w:p w14:paraId="5BEC3D32" w14:textId="77777777" w:rsidR="004304AA" w:rsidRPr="004304AA" w:rsidRDefault="004304AA" w:rsidP="004304AA">
      <w:pPr>
        <w:pStyle w:val="ListParagraph"/>
        <w:numPr>
          <w:ilvl w:val="0"/>
          <w:numId w:val="55"/>
        </w:numPr>
        <w:autoSpaceDE w:val="0"/>
        <w:autoSpaceDN w:val="0"/>
        <w:adjustRightInd w:val="0"/>
        <w:spacing w:before="0" w:after="0" w:line="240" w:lineRule="auto"/>
        <w:contextualSpacing/>
        <w:jc w:val="both"/>
        <w:rPr>
          <w:rFonts w:ascii="Arial" w:hAnsi="Arial" w:cs="Arial"/>
          <w:color w:val="2A2D35"/>
        </w:rPr>
      </w:pPr>
      <w:r w:rsidRPr="004304AA">
        <w:rPr>
          <w:rFonts w:ascii="Arial" w:hAnsi="Arial" w:cs="Arial"/>
          <w:color w:val="2A2D35"/>
        </w:rPr>
        <w:t xml:space="preserve">Transition to retirement strategies don’t suit everyone’s circumstances. You should discuss the following factors with your </w:t>
      </w:r>
      <w:r w:rsidRPr="004304AA">
        <w:rPr>
          <w:rFonts w:ascii="Arial" w:hAnsi="Arial" w:cs="Arial"/>
          <w:color w:val="2A2D35"/>
          <w:szCs w:val="22"/>
        </w:rPr>
        <w:t>financial adviser</w:t>
      </w:r>
      <w:r w:rsidRPr="004304AA">
        <w:rPr>
          <w:color w:val="2A2D35"/>
        </w:rPr>
        <w:t xml:space="preserve"> </w:t>
      </w:r>
      <w:r w:rsidRPr="004304AA">
        <w:rPr>
          <w:rFonts w:ascii="Arial" w:hAnsi="Arial" w:cs="Arial"/>
          <w:color w:val="2A2D35"/>
        </w:rPr>
        <w:t>when deciding if a transition to retirement strategy is right for you:</w:t>
      </w:r>
    </w:p>
    <w:p w14:paraId="11531A87" w14:textId="77777777" w:rsidR="004304AA" w:rsidRPr="004304AA" w:rsidRDefault="004304AA" w:rsidP="004304AA">
      <w:pPr>
        <w:autoSpaceDE w:val="0"/>
        <w:autoSpaceDN w:val="0"/>
        <w:adjustRightInd w:val="0"/>
        <w:spacing w:before="0" w:after="0" w:line="240" w:lineRule="auto"/>
        <w:ind w:left="360"/>
        <w:contextualSpacing/>
        <w:jc w:val="both"/>
        <w:rPr>
          <w:rFonts w:ascii="Arial" w:hAnsi="Arial" w:cs="Arial"/>
          <w:color w:val="2A2D35"/>
        </w:rPr>
      </w:pPr>
    </w:p>
    <w:p w14:paraId="7F9AF624" w14:textId="10F4905E" w:rsidR="0012386C" w:rsidRPr="004304AA" w:rsidRDefault="0012386C" w:rsidP="004304AA">
      <w:pPr>
        <w:pStyle w:val="ListParagraph"/>
        <w:numPr>
          <w:ilvl w:val="0"/>
          <w:numId w:val="55"/>
        </w:numPr>
        <w:autoSpaceDE w:val="0"/>
        <w:autoSpaceDN w:val="0"/>
        <w:adjustRightInd w:val="0"/>
        <w:spacing w:before="0" w:after="0" w:line="240" w:lineRule="auto"/>
        <w:contextualSpacing/>
        <w:jc w:val="both"/>
        <w:rPr>
          <w:rFonts w:ascii="Arial" w:hAnsi="Arial" w:cs="Arial"/>
          <w:color w:val="2A2D35"/>
        </w:rPr>
      </w:pPr>
      <w:r w:rsidRPr="004304AA">
        <w:rPr>
          <w:rFonts w:ascii="Arial" w:hAnsi="Arial" w:cs="Arial"/>
          <w:color w:val="2A2D35"/>
        </w:rPr>
        <w:t>your age</w:t>
      </w:r>
    </w:p>
    <w:p w14:paraId="76E1BC16" w14:textId="77777777" w:rsidR="0012386C" w:rsidRPr="004304AA" w:rsidRDefault="0012386C" w:rsidP="004304AA">
      <w:pPr>
        <w:pStyle w:val="ListParagraph"/>
        <w:numPr>
          <w:ilvl w:val="0"/>
          <w:numId w:val="55"/>
        </w:numPr>
        <w:autoSpaceDE w:val="0"/>
        <w:autoSpaceDN w:val="0"/>
        <w:adjustRightInd w:val="0"/>
        <w:spacing w:before="0" w:after="0" w:line="240" w:lineRule="auto"/>
        <w:contextualSpacing/>
        <w:jc w:val="both"/>
        <w:rPr>
          <w:rFonts w:ascii="Arial" w:hAnsi="Arial" w:cs="Arial"/>
          <w:color w:val="2A2D35"/>
        </w:rPr>
      </w:pPr>
      <w:r w:rsidRPr="004304AA">
        <w:rPr>
          <w:rFonts w:ascii="Arial" w:hAnsi="Arial" w:cs="Arial"/>
          <w:color w:val="2A2D35"/>
        </w:rPr>
        <w:t>whether you have sufficient super to support drawing a transition to retirement income stream</w:t>
      </w:r>
    </w:p>
    <w:p w14:paraId="4CF97F51" w14:textId="77777777" w:rsidR="0012386C" w:rsidRPr="004304AA" w:rsidRDefault="0012386C" w:rsidP="004304AA">
      <w:pPr>
        <w:pStyle w:val="ListParagraph"/>
        <w:numPr>
          <w:ilvl w:val="0"/>
          <w:numId w:val="55"/>
        </w:numPr>
        <w:autoSpaceDE w:val="0"/>
        <w:autoSpaceDN w:val="0"/>
        <w:adjustRightInd w:val="0"/>
        <w:spacing w:before="0" w:after="0" w:line="240" w:lineRule="auto"/>
        <w:contextualSpacing/>
        <w:jc w:val="both"/>
        <w:rPr>
          <w:rFonts w:ascii="Arial" w:hAnsi="Arial" w:cs="Arial"/>
          <w:color w:val="2A2D35"/>
        </w:rPr>
      </w:pPr>
      <w:r w:rsidRPr="004304AA">
        <w:rPr>
          <w:rFonts w:ascii="Arial" w:hAnsi="Arial" w:cs="Arial"/>
          <w:color w:val="2A2D35"/>
        </w:rPr>
        <w:t>whether or not your employer will:</w:t>
      </w:r>
    </w:p>
    <w:p w14:paraId="1A9632DA" w14:textId="77777777" w:rsidR="0012386C" w:rsidRPr="004304AA" w:rsidRDefault="0012386C" w:rsidP="004304AA">
      <w:pPr>
        <w:pStyle w:val="ListParagraph"/>
        <w:numPr>
          <w:ilvl w:val="1"/>
          <w:numId w:val="44"/>
        </w:numPr>
        <w:autoSpaceDE w:val="0"/>
        <w:autoSpaceDN w:val="0"/>
        <w:adjustRightInd w:val="0"/>
        <w:spacing w:before="0" w:after="0" w:line="240" w:lineRule="auto"/>
        <w:contextualSpacing/>
        <w:jc w:val="both"/>
        <w:rPr>
          <w:rFonts w:ascii="Arial" w:hAnsi="Arial" w:cs="Arial"/>
          <w:b/>
          <w:color w:val="2A2D35"/>
          <w:spacing w:val="4"/>
        </w:rPr>
      </w:pPr>
      <w:r w:rsidRPr="004304AA">
        <w:rPr>
          <w:rFonts w:ascii="Arial" w:hAnsi="Arial" w:cs="Arial"/>
          <w:color w:val="2A2D35"/>
        </w:rPr>
        <w:t>allow you to work part-time at a rate that suits you</w:t>
      </w:r>
    </w:p>
    <w:p w14:paraId="0F29824E" w14:textId="77777777" w:rsidR="0012386C" w:rsidRPr="004304AA" w:rsidRDefault="0012386C" w:rsidP="004304AA">
      <w:pPr>
        <w:pStyle w:val="ListParagraph"/>
        <w:numPr>
          <w:ilvl w:val="1"/>
          <w:numId w:val="44"/>
        </w:numPr>
        <w:autoSpaceDE w:val="0"/>
        <w:autoSpaceDN w:val="0"/>
        <w:adjustRightInd w:val="0"/>
        <w:spacing w:before="0" w:after="0" w:line="240" w:lineRule="auto"/>
        <w:contextualSpacing/>
        <w:jc w:val="both"/>
        <w:rPr>
          <w:rFonts w:ascii="Arial" w:hAnsi="Arial" w:cs="Arial"/>
          <w:b/>
          <w:color w:val="2A2D35"/>
          <w:spacing w:val="4"/>
        </w:rPr>
      </w:pPr>
      <w:r w:rsidRPr="004304AA">
        <w:rPr>
          <w:rFonts w:ascii="Arial" w:hAnsi="Arial" w:cs="Arial"/>
          <w:color w:val="2A2D35"/>
        </w:rPr>
        <w:t>allow you to salary sacrifice</w:t>
      </w:r>
    </w:p>
    <w:p w14:paraId="4678AB26" w14:textId="77777777" w:rsidR="0012386C" w:rsidRPr="004304AA" w:rsidRDefault="0012386C" w:rsidP="004304AA">
      <w:pPr>
        <w:pStyle w:val="ListParagraph"/>
        <w:numPr>
          <w:ilvl w:val="1"/>
          <w:numId w:val="44"/>
        </w:numPr>
        <w:autoSpaceDE w:val="0"/>
        <w:autoSpaceDN w:val="0"/>
        <w:adjustRightInd w:val="0"/>
        <w:spacing w:before="0" w:after="0" w:line="240" w:lineRule="auto"/>
        <w:contextualSpacing/>
        <w:jc w:val="both"/>
        <w:rPr>
          <w:rFonts w:ascii="Arial" w:hAnsi="Arial" w:cs="Arial"/>
          <w:b/>
          <w:color w:val="2A2D35"/>
          <w:spacing w:val="4"/>
        </w:rPr>
      </w:pPr>
      <w:r w:rsidRPr="004304AA">
        <w:rPr>
          <w:rFonts w:ascii="Arial" w:hAnsi="Arial" w:cs="Arial"/>
          <w:color w:val="2A2D35"/>
        </w:rPr>
        <w:t>agree to continue to pay your super guarantee (SG) contributions at the pre-salary sacrifice level</w:t>
      </w:r>
    </w:p>
    <w:p w14:paraId="1E4AAF37" w14:textId="77777777" w:rsidR="0012386C" w:rsidRPr="004304AA" w:rsidRDefault="0012386C" w:rsidP="004304AA">
      <w:pPr>
        <w:pStyle w:val="ListParagraph"/>
        <w:numPr>
          <w:ilvl w:val="0"/>
          <w:numId w:val="44"/>
        </w:numPr>
        <w:autoSpaceDE w:val="0"/>
        <w:autoSpaceDN w:val="0"/>
        <w:adjustRightInd w:val="0"/>
        <w:spacing w:before="0" w:after="0" w:line="240" w:lineRule="auto"/>
        <w:contextualSpacing/>
        <w:jc w:val="both"/>
        <w:rPr>
          <w:rFonts w:ascii="Arial" w:hAnsi="Arial" w:cs="Arial"/>
          <w:b/>
          <w:color w:val="2A2D35"/>
          <w:spacing w:val="4"/>
        </w:rPr>
      </w:pPr>
      <w:r w:rsidRPr="004304AA">
        <w:rPr>
          <w:rFonts w:ascii="Arial" w:hAnsi="Arial" w:cs="Arial"/>
          <w:color w:val="2A2D35"/>
        </w:rPr>
        <w:t xml:space="preserve">your tax </w:t>
      </w:r>
      <w:proofErr w:type="gramStart"/>
      <w:r w:rsidRPr="004304AA">
        <w:rPr>
          <w:rFonts w:ascii="Arial" w:hAnsi="Arial" w:cs="Arial"/>
          <w:color w:val="2A2D35"/>
        </w:rPr>
        <w:t>position</w:t>
      </w:r>
      <w:proofErr w:type="gramEnd"/>
    </w:p>
    <w:p w14:paraId="3230A5BA" w14:textId="77777777" w:rsidR="0012386C" w:rsidRPr="004304AA" w:rsidRDefault="0012386C" w:rsidP="004304AA">
      <w:pPr>
        <w:pStyle w:val="ListParagraph"/>
        <w:numPr>
          <w:ilvl w:val="0"/>
          <w:numId w:val="44"/>
        </w:numPr>
        <w:autoSpaceDE w:val="0"/>
        <w:autoSpaceDN w:val="0"/>
        <w:adjustRightInd w:val="0"/>
        <w:spacing w:before="0" w:after="0" w:line="240" w:lineRule="auto"/>
        <w:contextualSpacing/>
        <w:jc w:val="both"/>
        <w:rPr>
          <w:rFonts w:ascii="Arial" w:hAnsi="Arial" w:cs="Arial"/>
          <w:b/>
          <w:color w:val="2A2D35"/>
          <w:spacing w:val="4"/>
        </w:rPr>
      </w:pPr>
      <w:r w:rsidRPr="004304AA">
        <w:rPr>
          <w:rFonts w:ascii="Arial" w:hAnsi="Arial" w:cs="Arial"/>
          <w:color w:val="2A2D35"/>
        </w:rPr>
        <w:t>your financial objectives and retirement needs</w:t>
      </w:r>
    </w:p>
    <w:p w14:paraId="0F5294C2" w14:textId="77777777" w:rsidR="0012386C" w:rsidRPr="004304AA" w:rsidRDefault="0012386C" w:rsidP="004304AA">
      <w:pPr>
        <w:pStyle w:val="ListParagraph"/>
        <w:numPr>
          <w:ilvl w:val="0"/>
          <w:numId w:val="44"/>
        </w:numPr>
        <w:autoSpaceDE w:val="0"/>
        <w:autoSpaceDN w:val="0"/>
        <w:adjustRightInd w:val="0"/>
        <w:spacing w:before="0" w:after="0" w:line="240" w:lineRule="auto"/>
        <w:contextualSpacing/>
        <w:jc w:val="both"/>
        <w:rPr>
          <w:rFonts w:ascii="Arial" w:hAnsi="Arial" w:cs="Arial"/>
          <w:b/>
          <w:color w:val="2A2D35"/>
          <w:spacing w:val="4"/>
        </w:rPr>
      </w:pPr>
      <w:r w:rsidRPr="004304AA">
        <w:rPr>
          <w:rFonts w:ascii="Arial" w:hAnsi="Arial" w:cs="Arial"/>
          <w:color w:val="2A2D35"/>
        </w:rPr>
        <w:t>the costs associated with this strategy.</w:t>
      </w:r>
    </w:p>
    <w:p w14:paraId="44C35260" w14:textId="5C9E3A60" w:rsidR="004304AA" w:rsidRPr="004304AA" w:rsidRDefault="004304AA" w:rsidP="004304AA">
      <w:pPr>
        <w:autoSpaceDE w:val="0"/>
        <w:autoSpaceDN w:val="0"/>
        <w:adjustRightInd w:val="0"/>
        <w:jc w:val="both"/>
        <w:rPr>
          <w:rFonts w:ascii="Arial" w:hAnsi="Arial" w:cs="Arial"/>
          <w:color w:val="2A2D35"/>
          <w:szCs w:val="20"/>
        </w:rPr>
      </w:pPr>
      <w:r w:rsidRPr="004304AA">
        <w:rPr>
          <w:rFonts w:ascii="Arial" w:hAnsi="Arial" w:cs="Arial"/>
          <w:color w:val="2A2D35"/>
          <w:szCs w:val="20"/>
        </w:rPr>
        <w:t>Financial advice can make all the difference and help ensure you are not disadvantaged from a tax or social security perspective if you decide to implement this type of strategy.</w:t>
      </w:r>
    </w:p>
    <w:p w14:paraId="3D326D96" w14:textId="77777777" w:rsidR="004304AA" w:rsidRPr="004304AA" w:rsidRDefault="004304AA" w:rsidP="0012386C">
      <w:pPr>
        <w:autoSpaceDE w:val="0"/>
        <w:autoSpaceDN w:val="0"/>
        <w:adjustRightInd w:val="0"/>
        <w:rPr>
          <w:rFonts w:ascii="Arial" w:hAnsi="Arial" w:cs="Arial"/>
          <w:szCs w:val="20"/>
        </w:rPr>
      </w:pPr>
    </w:p>
    <w:p w14:paraId="47CAD072" w14:textId="23C1D604" w:rsidR="003B7B06" w:rsidRDefault="0012386C" w:rsidP="0012386C">
      <w:pPr>
        <w:autoSpaceDE w:val="0"/>
        <w:autoSpaceDN w:val="0"/>
        <w:adjustRightInd w:val="0"/>
        <w:rPr>
          <w:rFonts w:asciiTheme="majorHAnsi" w:eastAsia="MS Mincho" w:hAnsiTheme="majorHAnsi" w:cstheme="majorHAnsi"/>
          <w:b/>
          <w:bCs/>
          <w:color w:val="862633"/>
          <w:sz w:val="24"/>
          <w:lang w:bidi="hi-IN"/>
        </w:rPr>
      </w:pPr>
      <w:r w:rsidRPr="000E731D">
        <w:rPr>
          <w:rFonts w:asciiTheme="majorHAnsi" w:eastAsia="MS Mincho" w:hAnsiTheme="majorHAnsi" w:cstheme="majorHAnsi"/>
          <w:b/>
          <w:bCs/>
          <w:color w:val="862633"/>
          <w:sz w:val="24"/>
          <w:lang w:bidi="hi-IN"/>
        </w:rPr>
        <w:t>Salary sacrifice</w:t>
      </w:r>
    </w:p>
    <w:p w14:paraId="196553EB" w14:textId="631554CE" w:rsidR="0012386C" w:rsidRPr="004304AA" w:rsidRDefault="004304AA" w:rsidP="004304AA">
      <w:pPr>
        <w:autoSpaceDE w:val="0"/>
        <w:autoSpaceDN w:val="0"/>
        <w:adjustRightInd w:val="0"/>
        <w:jc w:val="both"/>
        <w:rPr>
          <w:rFonts w:ascii="Arial" w:hAnsi="Arial" w:cs="Arial"/>
          <w:b/>
          <w:color w:val="2A2D35"/>
          <w:szCs w:val="20"/>
        </w:rPr>
      </w:pPr>
      <w:r w:rsidRPr="004304AA">
        <w:rPr>
          <w:rFonts w:ascii="Arial" w:hAnsi="Arial" w:cs="Arial"/>
          <w:color w:val="2A2D35"/>
          <w:szCs w:val="20"/>
        </w:rPr>
        <w:t xml:space="preserve">Once you’re receiving payments from your transition to retirement income stream, the surplus income could allow you to salary sacrifice an equivalent amount of </w:t>
      </w:r>
      <w:r w:rsidRPr="004304AA">
        <w:rPr>
          <w:rFonts w:ascii="Arial" w:hAnsi="Arial" w:cs="Arial"/>
          <w:color w:val="2A2D35"/>
          <w:szCs w:val="20"/>
        </w:rPr>
        <w:t>employment income to super (take care not to exceed the relevant concessional contributions cap). This could maintain your after-tax income while boosting your super with tax-effective contributions.</w:t>
      </w:r>
    </w:p>
    <w:p w14:paraId="2ED6621D" w14:textId="77777777" w:rsidR="004304AA" w:rsidRPr="004304AA" w:rsidRDefault="004304AA" w:rsidP="004304AA">
      <w:pPr>
        <w:autoSpaceDE w:val="0"/>
        <w:autoSpaceDN w:val="0"/>
        <w:adjustRightInd w:val="0"/>
        <w:jc w:val="both"/>
        <w:rPr>
          <w:rFonts w:ascii="Arial" w:hAnsi="Arial" w:cs="Arial"/>
          <w:color w:val="2A2D35"/>
          <w:szCs w:val="20"/>
        </w:rPr>
      </w:pPr>
      <w:r w:rsidRPr="004304AA">
        <w:rPr>
          <w:rFonts w:ascii="Arial" w:hAnsi="Arial" w:cs="Arial"/>
          <w:color w:val="2A2D35"/>
          <w:szCs w:val="20"/>
        </w:rPr>
        <w:t>Salary sacrifice contributions are generally taxed at just 15%</w:t>
      </w:r>
      <w:r w:rsidRPr="004304AA">
        <w:rPr>
          <w:rFonts w:ascii="Arial" w:hAnsi="Arial" w:cs="Arial"/>
          <w:color w:val="2A2D35"/>
          <w:szCs w:val="20"/>
          <w:vertAlign w:val="superscript"/>
        </w:rPr>
        <w:t>1</w:t>
      </w:r>
      <w:r w:rsidRPr="004304AA">
        <w:rPr>
          <w:rFonts w:ascii="Arial" w:hAnsi="Arial" w:cs="Arial"/>
          <w:color w:val="2A2D35"/>
          <w:szCs w:val="20"/>
        </w:rPr>
        <w:t>, unlike the salary they replace which would be taxed at your marginal tax rate (which could be up to 45% plus applicable levies). Salary sacrificing may therefore reduce the amount of tax you have to pay.</w:t>
      </w:r>
    </w:p>
    <w:p w14:paraId="1A5A09F5" w14:textId="77777777" w:rsidR="004304AA" w:rsidRPr="004304AA" w:rsidRDefault="004304AA" w:rsidP="004304AA">
      <w:pPr>
        <w:autoSpaceDE w:val="0"/>
        <w:autoSpaceDN w:val="0"/>
        <w:adjustRightInd w:val="0"/>
        <w:jc w:val="both"/>
        <w:rPr>
          <w:rFonts w:ascii="Arial" w:hAnsi="Arial" w:cs="Arial"/>
          <w:color w:val="2A2D35"/>
          <w:szCs w:val="20"/>
        </w:rPr>
      </w:pPr>
      <w:r w:rsidRPr="004304AA">
        <w:rPr>
          <w:rFonts w:ascii="Arial" w:hAnsi="Arial" w:cs="Arial"/>
          <w:color w:val="2A2D35"/>
          <w:szCs w:val="20"/>
        </w:rPr>
        <w:t>In addition, investment earnings on contributions made to your super are also taxed at 15% or less, compared to your marginal tax rate (which would apply to assessable investment income on your investments outside super).</w:t>
      </w:r>
    </w:p>
    <w:p w14:paraId="298B5FDB" w14:textId="77777777" w:rsidR="003B7B06" w:rsidRDefault="003B7B06" w:rsidP="0012386C">
      <w:pPr>
        <w:autoSpaceDE w:val="0"/>
        <w:autoSpaceDN w:val="0"/>
        <w:adjustRightInd w:val="0"/>
        <w:rPr>
          <w:rFonts w:asciiTheme="majorHAnsi" w:eastAsia="MS Mincho" w:hAnsiTheme="majorHAnsi" w:cstheme="majorHAnsi"/>
          <w:b/>
          <w:bCs/>
          <w:color w:val="862633"/>
          <w:sz w:val="24"/>
          <w:lang w:bidi="hi-IN"/>
        </w:rPr>
      </w:pPr>
    </w:p>
    <w:p w14:paraId="12C47DE7" w14:textId="41E92DB5" w:rsidR="000E731D" w:rsidRDefault="0012386C" w:rsidP="0012386C">
      <w:pPr>
        <w:autoSpaceDE w:val="0"/>
        <w:autoSpaceDN w:val="0"/>
        <w:adjustRightInd w:val="0"/>
        <w:rPr>
          <w:rFonts w:asciiTheme="majorHAnsi" w:eastAsia="MS Mincho" w:hAnsiTheme="majorHAnsi" w:cstheme="majorHAnsi"/>
          <w:b/>
          <w:bCs/>
          <w:color w:val="862633"/>
          <w:sz w:val="24"/>
          <w:lang w:bidi="hi-IN"/>
        </w:rPr>
      </w:pPr>
      <w:r w:rsidRPr="000E731D">
        <w:rPr>
          <w:rFonts w:asciiTheme="majorHAnsi" w:eastAsia="MS Mincho" w:hAnsiTheme="majorHAnsi" w:cstheme="majorHAnsi"/>
          <w:b/>
          <w:bCs/>
          <w:color w:val="862633"/>
          <w:sz w:val="24"/>
          <w:lang w:bidi="hi-IN"/>
        </w:rPr>
        <w:t>A word about contributions caps</w:t>
      </w:r>
    </w:p>
    <w:p w14:paraId="7867FDA6" w14:textId="77777777" w:rsidR="004304AA" w:rsidRPr="004304AA" w:rsidRDefault="004304AA" w:rsidP="004304AA">
      <w:pPr>
        <w:autoSpaceDE w:val="0"/>
        <w:autoSpaceDN w:val="0"/>
        <w:adjustRightInd w:val="0"/>
        <w:jc w:val="both"/>
        <w:rPr>
          <w:rFonts w:asciiTheme="majorHAnsi" w:eastAsia="MS Mincho" w:hAnsiTheme="majorHAnsi" w:cstheme="majorHAnsi"/>
          <w:color w:val="2A2D35"/>
          <w:szCs w:val="20"/>
          <w:lang w:bidi="hi-IN"/>
        </w:rPr>
      </w:pPr>
      <w:r w:rsidRPr="004304AA">
        <w:rPr>
          <w:rFonts w:asciiTheme="majorHAnsi" w:eastAsia="MS Mincho" w:hAnsiTheme="majorHAnsi" w:cstheme="majorHAnsi"/>
          <w:color w:val="2A2D35"/>
          <w:szCs w:val="20"/>
          <w:lang w:bidi="hi-IN"/>
        </w:rPr>
        <w:t>When considering any super strategy, it’s important to assess how much you are contributing to super in any one year. The Government has set annual limits – known as contributions caps, and additional tax may apply where you exceed the caps</w:t>
      </w:r>
      <w:r w:rsidRPr="004304AA">
        <w:rPr>
          <w:rFonts w:asciiTheme="majorHAnsi" w:eastAsia="MS Mincho" w:hAnsiTheme="majorHAnsi" w:cstheme="majorHAnsi"/>
          <w:color w:val="2A2D35"/>
          <w:vertAlign w:val="superscript"/>
          <w:lang w:bidi="hi-IN"/>
        </w:rPr>
        <w:t>2</w:t>
      </w:r>
      <w:r w:rsidRPr="004304AA">
        <w:rPr>
          <w:rFonts w:asciiTheme="majorHAnsi" w:eastAsia="MS Mincho" w:hAnsiTheme="majorHAnsi" w:cstheme="majorHAnsi"/>
          <w:color w:val="2A2D35"/>
          <w:szCs w:val="20"/>
          <w:lang w:bidi="hi-IN"/>
        </w:rPr>
        <w:t>.</w:t>
      </w:r>
    </w:p>
    <w:p w14:paraId="408924F6" w14:textId="08E61276" w:rsidR="004304AA" w:rsidRPr="004304AA" w:rsidRDefault="004304AA" w:rsidP="004304AA">
      <w:pPr>
        <w:autoSpaceDE w:val="0"/>
        <w:autoSpaceDN w:val="0"/>
        <w:adjustRightInd w:val="0"/>
        <w:jc w:val="both"/>
        <w:rPr>
          <w:rFonts w:asciiTheme="majorHAnsi" w:eastAsia="MS Mincho" w:hAnsiTheme="majorHAnsi" w:cstheme="majorHAnsi"/>
          <w:color w:val="2A2D35"/>
          <w:szCs w:val="20"/>
          <w:lang w:bidi="hi-IN"/>
        </w:rPr>
      </w:pPr>
      <w:r w:rsidRPr="004304AA">
        <w:rPr>
          <w:rFonts w:asciiTheme="majorHAnsi" w:eastAsia="MS Mincho" w:hAnsiTheme="majorHAnsi" w:cstheme="majorHAnsi"/>
          <w:color w:val="2A2D35"/>
          <w:szCs w:val="20"/>
          <w:lang w:bidi="hi-IN"/>
        </w:rPr>
        <w:t>The contributions caps for the 2020-21 financial year are</w:t>
      </w:r>
      <w:r w:rsidRPr="004304AA">
        <w:rPr>
          <w:rFonts w:asciiTheme="majorHAnsi" w:eastAsia="MS Mincho" w:hAnsiTheme="majorHAnsi" w:cstheme="majorHAnsi"/>
          <w:color w:val="2A2D35"/>
          <w:szCs w:val="20"/>
          <w:vertAlign w:val="superscript"/>
          <w:lang w:bidi="hi-IN"/>
        </w:rPr>
        <w:t>3</w:t>
      </w:r>
      <w:r w:rsidRPr="004304AA">
        <w:rPr>
          <w:rFonts w:asciiTheme="majorHAnsi" w:eastAsia="MS Mincho" w:hAnsiTheme="majorHAnsi" w:cstheme="majorHAnsi"/>
          <w:color w:val="2A2D35"/>
          <w:szCs w:val="20"/>
          <w:lang w:bidi="hi-IN"/>
        </w:rPr>
        <w:t>:</w:t>
      </w:r>
    </w:p>
    <w:p w14:paraId="7D5EDF14" w14:textId="77777777" w:rsidR="004304AA" w:rsidRPr="004304AA" w:rsidRDefault="004304AA" w:rsidP="004304AA">
      <w:pPr>
        <w:autoSpaceDE w:val="0"/>
        <w:autoSpaceDN w:val="0"/>
        <w:adjustRightInd w:val="0"/>
        <w:jc w:val="both"/>
        <w:rPr>
          <w:rFonts w:asciiTheme="majorHAnsi" w:eastAsia="MS Mincho" w:hAnsiTheme="majorHAnsi" w:cstheme="majorHAnsi"/>
          <w:color w:val="2A2D35"/>
          <w:szCs w:val="20"/>
          <w:lang w:bidi="hi-IN"/>
        </w:rPr>
      </w:pPr>
    </w:p>
    <w:p w14:paraId="685BCC7A" w14:textId="77777777" w:rsidR="004304AA" w:rsidRPr="004304AA" w:rsidRDefault="004304AA" w:rsidP="004304AA">
      <w:pPr>
        <w:numPr>
          <w:ilvl w:val="0"/>
          <w:numId w:val="52"/>
        </w:numPr>
        <w:spacing w:before="0" w:after="200" w:line="276" w:lineRule="auto"/>
        <w:rPr>
          <w:color w:val="2A2D35"/>
        </w:rPr>
      </w:pPr>
      <w:r w:rsidRPr="004304AA">
        <w:rPr>
          <w:color w:val="2A2D35"/>
        </w:rPr>
        <w:t>A basic concessional contributions cap of $25,000 per financial year.</w:t>
      </w:r>
    </w:p>
    <w:p w14:paraId="24C05FBB" w14:textId="77777777" w:rsidR="004304AA" w:rsidRPr="004304AA" w:rsidRDefault="004304AA" w:rsidP="004304AA">
      <w:pPr>
        <w:numPr>
          <w:ilvl w:val="0"/>
          <w:numId w:val="52"/>
        </w:numPr>
        <w:spacing w:before="0" w:after="200" w:line="276" w:lineRule="auto"/>
        <w:jc w:val="both"/>
        <w:rPr>
          <w:color w:val="2A2D35"/>
        </w:rPr>
      </w:pPr>
      <w:r w:rsidRPr="004304AA">
        <w:rPr>
          <w:color w:val="2A2D35"/>
        </w:rPr>
        <w:t>Any amount of the basic concessional contributions cap you do not use in a financial year from 1 July 2018 onwards, may accrue for the following five financial years and be used to increase the basic concessional contributions cap in financial years from 1 July 2019 onwards. To be eligible to increase your basic concessional contributions cap in this way, you must have a total super balance</w:t>
      </w:r>
      <w:r w:rsidRPr="004304AA">
        <w:rPr>
          <w:color w:val="2A2D35"/>
          <w:vertAlign w:val="superscript"/>
        </w:rPr>
        <w:t>4</w:t>
      </w:r>
      <w:r w:rsidRPr="004304AA">
        <w:rPr>
          <w:color w:val="2A2D35"/>
        </w:rPr>
        <w:t xml:space="preserve"> of less than $500,000 just before the start of the financial year.  </w:t>
      </w:r>
    </w:p>
    <w:p w14:paraId="032542A2" w14:textId="77777777" w:rsidR="004304AA" w:rsidRPr="004304AA" w:rsidRDefault="004304AA" w:rsidP="004304AA">
      <w:pPr>
        <w:spacing w:before="0" w:after="200" w:line="276" w:lineRule="auto"/>
        <w:ind w:left="709"/>
        <w:jc w:val="both"/>
        <w:rPr>
          <w:color w:val="2A2D35"/>
        </w:rPr>
      </w:pPr>
      <w:r w:rsidRPr="004304AA">
        <w:rPr>
          <w:color w:val="2A2D35"/>
        </w:rPr>
        <w:t>For example, if you made no concessional contributions in 2018-19 when the basic concessional contributions cap was $25,000, you may contribute an extra $25,000 in total between 1 July 2019 and 30 June 2024, on top of the basic concessional contributions cap, if your total super balance is less than $500,000 at the end of the previous financial year.</w:t>
      </w:r>
    </w:p>
    <w:p w14:paraId="4779EF15" w14:textId="77777777" w:rsidR="004304AA" w:rsidRPr="004304AA" w:rsidRDefault="004304AA" w:rsidP="004304AA">
      <w:pPr>
        <w:numPr>
          <w:ilvl w:val="0"/>
          <w:numId w:val="52"/>
        </w:numPr>
        <w:spacing w:before="0" w:after="200" w:line="276" w:lineRule="auto"/>
        <w:jc w:val="both"/>
        <w:rPr>
          <w:color w:val="2A2D35"/>
        </w:rPr>
      </w:pPr>
      <w:r w:rsidRPr="004304AA">
        <w:rPr>
          <w:rFonts w:ascii="Arial" w:hAnsi="Arial" w:cs="Arial"/>
          <w:color w:val="2A2D35"/>
        </w:rPr>
        <w:t>A non-concessional contributions cap of $100,000 per financial year, or up to $300,000 over a three-year period (known as the bring-forward rule) if you are under age 65 any time during a financial year</w:t>
      </w:r>
      <w:r w:rsidRPr="004304AA">
        <w:rPr>
          <w:rFonts w:ascii="Arial" w:hAnsi="Arial" w:cs="Arial"/>
          <w:color w:val="2A2D35"/>
          <w:vertAlign w:val="superscript"/>
        </w:rPr>
        <w:t>5</w:t>
      </w:r>
      <w:r w:rsidRPr="004304AA">
        <w:rPr>
          <w:rFonts w:ascii="Arial" w:hAnsi="Arial" w:cs="Arial"/>
          <w:color w:val="2A2D35"/>
        </w:rPr>
        <w:t>. In addition:</w:t>
      </w:r>
    </w:p>
    <w:p w14:paraId="2BD5D53F" w14:textId="77777777" w:rsidR="004304AA" w:rsidRPr="004304AA" w:rsidRDefault="004304AA" w:rsidP="004304AA">
      <w:pPr>
        <w:numPr>
          <w:ilvl w:val="1"/>
          <w:numId w:val="52"/>
        </w:numPr>
        <w:spacing w:before="0" w:after="200" w:line="276" w:lineRule="auto"/>
        <w:jc w:val="both"/>
        <w:rPr>
          <w:color w:val="2A2D35"/>
        </w:rPr>
      </w:pPr>
      <w:r w:rsidRPr="004304AA">
        <w:rPr>
          <w:rFonts w:ascii="Arial" w:hAnsi="Arial" w:cs="Arial"/>
          <w:color w:val="2A2D35"/>
        </w:rPr>
        <w:lastRenderedPageBreak/>
        <w:t>Your non-concessional cap reduces to Nil once your total super balance</w:t>
      </w:r>
      <w:r w:rsidRPr="004304AA">
        <w:rPr>
          <w:rFonts w:ascii="Arial" w:hAnsi="Arial" w:cs="Arial"/>
          <w:color w:val="2A2D35"/>
          <w:vertAlign w:val="superscript"/>
        </w:rPr>
        <w:t>4</w:t>
      </w:r>
      <w:r w:rsidRPr="004304AA">
        <w:rPr>
          <w:rFonts w:ascii="Arial" w:hAnsi="Arial" w:cs="Arial"/>
          <w:color w:val="2A2D35"/>
        </w:rPr>
        <w:t xml:space="preserve"> (just before the start of the year) is $1.6 million or more</w:t>
      </w:r>
      <w:r w:rsidRPr="004304AA">
        <w:rPr>
          <w:color w:val="2A2D35"/>
        </w:rPr>
        <w:t xml:space="preserve">.  </w:t>
      </w:r>
    </w:p>
    <w:p w14:paraId="22CF8893" w14:textId="0C5EFB44" w:rsidR="000E731D" w:rsidRPr="000E731D" w:rsidRDefault="004304AA" w:rsidP="004304AA">
      <w:pPr>
        <w:numPr>
          <w:ilvl w:val="1"/>
          <w:numId w:val="52"/>
        </w:numPr>
        <w:spacing w:before="0" w:after="200" w:line="276" w:lineRule="auto"/>
        <w:jc w:val="both"/>
      </w:pPr>
      <w:r w:rsidRPr="004304AA">
        <w:rPr>
          <w:rFonts w:ascii="Arial" w:hAnsi="Arial" w:cs="Arial"/>
          <w:color w:val="2A2D35"/>
        </w:rPr>
        <w:t>The cap you have available under the bring-forward rule will reduce once your total super balance</w:t>
      </w:r>
      <w:r w:rsidRPr="004304AA">
        <w:rPr>
          <w:rFonts w:ascii="Arial" w:hAnsi="Arial" w:cs="Arial"/>
          <w:color w:val="2A2D35"/>
          <w:vertAlign w:val="superscript"/>
        </w:rPr>
        <w:t>4</w:t>
      </w:r>
      <w:r w:rsidRPr="004304AA">
        <w:rPr>
          <w:rFonts w:ascii="Arial" w:hAnsi="Arial" w:cs="Arial"/>
          <w:color w:val="2A2D35"/>
        </w:rPr>
        <w:t xml:space="preserve"> (just before the start of the year) is $1.4 million or more</w:t>
      </w:r>
      <w:r w:rsidRPr="00C31B85">
        <w:t>.</w:t>
      </w:r>
    </w:p>
    <w:p w14:paraId="76CDDD6C" w14:textId="52B45E36" w:rsidR="003B7B06" w:rsidRPr="000E731D" w:rsidRDefault="0012386C" w:rsidP="0012386C">
      <w:pPr>
        <w:autoSpaceDE w:val="0"/>
        <w:autoSpaceDN w:val="0"/>
        <w:adjustRightInd w:val="0"/>
        <w:rPr>
          <w:rFonts w:asciiTheme="majorHAnsi" w:eastAsia="MS Mincho" w:hAnsiTheme="majorHAnsi" w:cstheme="majorHAnsi"/>
          <w:b/>
          <w:bCs/>
          <w:color w:val="862633"/>
          <w:sz w:val="24"/>
          <w:lang w:bidi="hi-IN"/>
        </w:rPr>
      </w:pPr>
      <w:r w:rsidRPr="000E731D">
        <w:rPr>
          <w:rFonts w:asciiTheme="majorHAnsi" w:eastAsia="MS Mincho" w:hAnsiTheme="majorHAnsi" w:cstheme="majorHAnsi"/>
          <w:b/>
          <w:bCs/>
          <w:color w:val="862633"/>
          <w:sz w:val="24"/>
          <w:lang w:bidi="hi-IN"/>
        </w:rPr>
        <w:t>Transition to retirement income streams at a glance</w:t>
      </w:r>
    </w:p>
    <w:p w14:paraId="5AE17972" w14:textId="77777777" w:rsidR="004304AA" w:rsidRPr="004304AA" w:rsidRDefault="004304AA" w:rsidP="004304AA">
      <w:pPr>
        <w:pStyle w:val="ListParagraph"/>
        <w:numPr>
          <w:ilvl w:val="0"/>
          <w:numId w:val="53"/>
        </w:numPr>
        <w:autoSpaceDE w:val="0"/>
        <w:autoSpaceDN w:val="0"/>
        <w:adjustRightInd w:val="0"/>
        <w:spacing w:before="0" w:after="0" w:line="240" w:lineRule="auto"/>
        <w:contextualSpacing/>
        <w:jc w:val="both"/>
        <w:rPr>
          <w:rFonts w:ascii="Arial" w:hAnsi="Arial" w:cs="Arial"/>
          <w:color w:val="2A2D35"/>
        </w:rPr>
      </w:pPr>
      <w:r w:rsidRPr="004304AA">
        <w:rPr>
          <w:rFonts w:ascii="Arial" w:hAnsi="Arial" w:cs="Arial"/>
          <w:color w:val="2A2D35"/>
        </w:rPr>
        <w:t>You must draw an income stream payment of between 2% and 7% of your account balance each financial year, depending on your age.</w:t>
      </w:r>
    </w:p>
    <w:p w14:paraId="35672C28" w14:textId="77777777" w:rsidR="003B7B06" w:rsidRPr="004304AA" w:rsidRDefault="003B7B06" w:rsidP="004304AA">
      <w:pPr>
        <w:pStyle w:val="ListParagraph"/>
        <w:autoSpaceDE w:val="0"/>
        <w:autoSpaceDN w:val="0"/>
        <w:adjustRightInd w:val="0"/>
        <w:spacing w:before="0" w:after="0" w:line="240" w:lineRule="auto"/>
        <w:ind w:left="720"/>
        <w:contextualSpacing/>
        <w:jc w:val="both"/>
        <w:rPr>
          <w:rFonts w:ascii="Arial" w:hAnsi="Arial" w:cs="Arial"/>
          <w:color w:val="2A2D35"/>
        </w:rPr>
      </w:pPr>
    </w:p>
    <w:p w14:paraId="67C74DE3" w14:textId="5215DDE3" w:rsidR="0012386C" w:rsidRPr="004304AA" w:rsidRDefault="0012386C" w:rsidP="004304AA">
      <w:pPr>
        <w:pStyle w:val="ListParagraph"/>
        <w:numPr>
          <w:ilvl w:val="0"/>
          <w:numId w:val="53"/>
        </w:numPr>
        <w:autoSpaceDE w:val="0"/>
        <w:autoSpaceDN w:val="0"/>
        <w:adjustRightInd w:val="0"/>
        <w:spacing w:before="0" w:after="0" w:line="240" w:lineRule="auto"/>
        <w:contextualSpacing/>
        <w:jc w:val="both"/>
        <w:rPr>
          <w:rFonts w:ascii="Arial" w:hAnsi="Arial" w:cs="Arial"/>
          <w:color w:val="2A2D35"/>
        </w:rPr>
      </w:pPr>
      <w:r w:rsidRPr="004304AA">
        <w:rPr>
          <w:rFonts w:ascii="Arial" w:hAnsi="Arial" w:cs="Arial"/>
          <w:color w:val="2A2D35"/>
        </w:rPr>
        <w:t>Earnings on assets supporting transition to retirement income streams are taxable at up to 15% (prior to 1 July 2017 these earnings were tax free). Once you turn 65 or notify the fund that you have retired, are permanently incapacitated or terminally ill, the earnings are once again tax free.</w:t>
      </w:r>
    </w:p>
    <w:p w14:paraId="2BEE21C3" w14:textId="77777777" w:rsidR="003B7B06" w:rsidRPr="004304AA" w:rsidRDefault="003B7B06" w:rsidP="004304AA">
      <w:pPr>
        <w:autoSpaceDE w:val="0"/>
        <w:autoSpaceDN w:val="0"/>
        <w:adjustRightInd w:val="0"/>
        <w:spacing w:before="0" w:after="0" w:line="240" w:lineRule="auto"/>
        <w:contextualSpacing/>
        <w:jc w:val="both"/>
        <w:rPr>
          <w:rFonts w:ascii="Arial" w:hAnsi="Arial" w:cs="Arial"/>
          <w:color w:val="2A2D35"/>
        </w:rPr>
      </w:pPr>
    </w:p>
    <w:p w14:paraId="25FCC5D4" w14:textId="77777777" w:rsidR="004304AA" w:rsidRPr="004304AA" w:rsidRDefault="004304AA" w:rsidP="004304AA">
      <w:pPr>
        <w:pStyle w:val="ListParagraph"/>
        <w:numPr>
          <w:ilvl w:val="0"/>
          <w:numId w:val="53"/>
        </w:numPr>
        <w:autoSpaceDE w:val="0"/>
        <w:autoSpaceDN w:val="0"/>
        <w:adjustRightInd w:val="0"/>
        <w:spacing w:before="0" w:after="0" w:line="240" w:lineRule="auto"/>
        <w:contextualSpacing/>
        <w:jc w:val="both"/>
        <w:rPr>
          <w:rFonts w:ascii="Arial" w:hAnsi="Arial" w:cs="Arial"/>
          <w:color w:val="2A2D35"/>
        </w:rPr>
      </w:pPr>
      <w:r w:rsidRPr="004304AA">
        <w:rPr>
          <w:rFonts w:ascii="Arial" w:hAnsi="Arial" w:cs="Arial"/>
          <w:color w:val="2A2D35"/>
        </w:rPr>
        <w:t>The value of your transition to retirement income stream will only count toward the $1.6 million transfer balance cap if: you are age 65 or over; you have notified the fund that you have retired, are permanently incapacitated or terminally ill; or the income stream reverts to an eligible beneficiary in the event of your death.</w:t>
      </w:r>
    </w:p>
    <w:p w14:paraId="789BAF69" w14:textId="77777777" w:rsidR="003B7B06" w:rsidRPr="004304AA" w:rsidRDefault="003B7B06" w:rsidP="004304AA">
      <w:pPr>
        <w:autoSpaceDE w:val="0"/>
        <w:autoSpaceDN w:val="0"/>
        <w:adjustRightInd w:val="0"/>
        <w:spacing w:before="0" w:after="0" w:line="240" w:lineRule="auto"/>
        <w:contextualSpacing/>
        <w:jc w:val="both"/>
        <w:rPr>
          <w:rFonts w:ascii="Arial" w:hAnsi="Arial" w:cs="Arial"/>
          <w:color w:val="2A2D35"/>
        </w:rPr>
      </w:pPr>
    </w:p>
    <w:p w14:paraId="7F99BF7C" w14:textId="77777777" w:rsidR="004304AA" w:rsidRPr="004304AA" w:rsidRDefault="004304AA" w:rsidP="004304AA">
      <w:pPr>
        <w:pStyle w:val="ListParagraph"/>
        <w:numPr>
          <w:ilvl w:val="0"/>
          <w:numId w:val="53"/>
        </w:numPr>
        <w:autoSpaceDE w:val="0"/>
        <w:autoSpaceDN w:val="0"/>
        <w:adjustRightInd w:val="0"/>
        <w:spacing w:before="0" w:after="0" w:line="240" w:lineRule="auto"/>
        <w:contextualSpacing/>
        <w:jc w:val="both"/>
        <w:rPr>
          <w:rFonts w:ascii="Arial" w:hAnsi="Arial" w:cs="Arial"/>
          <w:color w:val="2A2D35"/>
        </w:rPr>
      </w:pPr>
      <w:r w:rsidRPr="004304AA">
        <w:rPr>
          <w:rFonts w:ascii="Arial" w:hAnsi="Arial" w:cs="Arial"/>
          <w:color w:val="2A2D35"/>
        </w:rPr>
        <w:t>Transition to retirement income streams can be started with preserved and restricted non-preserved superannuation benefits</w:t>
      </w:r>
      <w:r w:rsidRPr="004304AA">
        <w:rPr>
          <w:rFonts w:ascii="Arial" w:hAnsi="Arial" w:cs="Arial"/>
          <w:color w:val="2A2D35"/>
          <w:vertAlign w:val="superscript"/>
        </w:rPr>
        <w:t>6</w:t>
      </w:r>
      <w:r w:rsidRPr="004304AA">
        <w:rPr>
          <w:rFonts w:ascii="Arial" w:hAnsi="Arial" w:cs="Arial"/>
          <w:color w:val="2A2D35"/>
        </w:rPr>
        <w:t xml:space="preserve"> (as well as unrestricted non-preserved benefits, which can be accessed at any time).</w:t>
      </w:r>
    </w:p>
    <w:p w14:paraId="45D7D6F6" w14:textId="77777777" w:rsidR="003B7B06" w:rsidRPr="004304AA" w:rsidRDefault="003B7B06" w:rsidP="004304AA">
      <w:pPr>
        <w:autoSpaceDE w:val="0"/>
        <w:autoSpaceDN w:val="0"/>
        <w:adjustRightInd w:val="0"/>
        <w:spacing w:before="0" w:after="0" w:line="240" w:lineRule="auto"/>
        <w:contextualSpacing/>
        <w:jc w:val="both"/>
        <w:rPr>
          <w:rFonts w:ascii="Arial" w:hAnsi="Arial" w:cs="Arial"/>
          <w:color w:val="2A2D35"/>
        </w:rPr>
      </w:pPr>
    </w:p>
    <w:p w14:paraId="4735DE66" w14:textId="77777777" w:rsidR="004304AA" w:rsidRPr="004304AA" w:rsidRDefault="004304AA" w:rsidP="004304AA">
      <w:pPr>
        <w:pStyle w:val="ListParagraph"/>
        <w:numPr>
          <w:ilvl w:val="0"/>
          <w:numId w:val="53"/>
        </w:numPr>
        <w:autoSpaceDE w:val="0"/>
        <w:autoSpaceDN w:val="0"/>
        <w:adjustRightInd w:val="0"/>
        <w:spacing w:before="0" w:after="0" w:line="240" w:lineRule="auto"/>
        <w:contextualSpacing/>
        <w:jc w:val="both"/>
        <w:rPr>
          <w:rFonts w:ascii="Arial" w:hAnsi="Arial" w:cs="Arial"/>
          <w:color w:val="2A2D35"/>
        </w:rPr>
      </w:pPr>
      <w:r w:rsidRPr="004304AA">
        <w:rPr>
          <w:rFonts w:ascii="Arial" w:hAnsi="Arial" w:cs="Arial"/>
          <w:color w:val="2A2D35"/>
        </w:rPr>
        <w:t>Lump sum withdrawals can only be made from a pre</w:t>
      </w:r>
      <w:r w:rsidRPr="004304AA">
        <w:rPr>
          <w:rFonts w:ascii="Arial" w:eastAsia="MS Gothic" w:hAnsi="MS Gothic" w:cs="Arial"/>
          <w:color w:val="2A2D35"/>
        </w:rPr>
        <w:t>-</w:t>
      </w:r>
      <w:r w:rsidRPr="004304AA">
        <w:rPr>
          <w:rFonts w:asciiTheme="majorHAnsi" w:hAnsiTheme="majorHAnsi" w:cstheme="majorHAnsi"/>
          <w:color w:val="2A2D35"/>
        </w:rPr>
        <w:t>retirement pension if:</w:t>
      </w:r>
    </w:p>
    <w:p w14:paraId="78A1BF86" w14:textId="77777777" w:rsidR="004304AA" w:rsidRPr="004304AA" w:rsidRDefault="004304AA" w:rsidP="004304AA">
      <w:pPr>
        <w:pStyle w:val="ListParagraph"/>
        <w:numPr>
          <w:ilvl w:val="1"/>
          <w:numId w:val="45"/>
        </w:numPr>
        <w:autoSpaceDE w:val="0"/>
        <w:autoSpaceDN w:val="0"/>
        <w:adjustRightInd w:val="0"/>
        <w:spacing w:before="0" w:after="0" w:line="240" w:lineRule="auto"/>
        <w:contextualSpacing/>
        <w:jc w:val="both"/>
        <w:rPr>
          <w:rFonts w:asciiTheme="majorHAnsi" w:hAnsiTheme="majorHAnsi" w:cstheme="majorHAnsi"/>
          <w:color w:val="2A2D35"/>
        </w:rPr>
      </w:pPr>
      <w:r w:rsidRPr="004304AA">
        <w:rPr>
          <w:rFonts w:asciiTheme="majorHAnsi" w:hAnsiTheme="majorHAnsi" w:cstheme="majorHAnsi"/>
          <w:color w:val="2A2D35"/>
        </w:rPr>
        <w:t>they are from unrestricted non-preserved benefits</w:t>
      </w:r>
      <w:r w:rsidRPr="004304AA">
        <w:rPr>
          <w:rFonts w:asciiTheme="majorHAnsi" w:hAnsiTheme="majorHAnsi" w:cstheme="majorHAnsi"/>
          <w:color w:val="2A2D35"/>
          <w:vertAlign w:val="superscript"/>
        </w:rPr>
        <w:t>6</w:t>
      </w:r>
    </w:p>
    <w:p w14:paraId="703D7B07" w14:textId="77777777" w:rsidR="004304AA" w:rsidRPr="004304AA" w:rsidRDefault="004304AA" w:rsidP="004304AA">
      <w:pPr>
        <w:pStyle w:val="ListParagraph"/>
        <w:numPr>
          <w:ilvl w:val="0"/>
          <w:numId w:val="46"/>
        </w:numPr>
        <w:autoSpaceDE w:val="0"/>
        <w:autoSpaceDN w:val="0"/>
        <w:adjustRightInd w:val="0"/>
        <w:spacing w:before="0" w:after="0" w:line="240" w:lineRule="auto"/>
        <w:contextualSpacing/>
        <w:jc w:val="both"/>
        <w:rPr>
          <w:rFonts w:asciiTheme="majorHAnsi" w:hAnsiTheme="majorHAnsi" w:cstheme="majorHAnsi"/>
          <w:color w:val="2A2D35"/>
        </w:rPr>
      </w:pPr>
      <w:r w:rsidRPr="004304AA">
        <w:rPr>
          <w:rFonts w:asciiTheme="majorHAnsi" w:hAnsiTheme="majorHAnsi" w:cstheme="majorHAnsi"/>
          <w:color w:val="2A2D35"/>
        </w:rPr>
        <w:t>you have reached preservation age, have ceased a gainful employment arrangement and do not intend to return to work for 10 hours or more per week</w:t>
      </w:r>
    </w:p>
    <w:p w14:paraId="01A5A56C" w14:textId="77777777" w:rsidR="004304AA" w:rsidRPr="004304AA" w:rsidRDefault="004304AA" w:rsidP="004304AA">
      <w:pPr>
        <w:pStyle w:val="ListParagraph"/>
        <w:numPr>
          <w:ilvl w:val="0"/>
          <w:numId w:val="46"/>
        </w:numPr>
        <w:autoSpaceDE w:val="0"/>
        <w:autoSpaceDN w:val="0"/>
        <w:adjustRightInd w:val="0"/>
        <w:spacing w:before="0" w:after="0" w:line="240" w:lineRule="auto"/>
        <w:contextualSpacing/>
        <w:jc w:val="both"/>
        <w:rPr>
          <w:rFonts w:ascii="Arial" w:hAnsi="Arial" w:cs="Arial"/>
          <w:color w:val="2A2D35"/>
        </w:rPr>
      </w:pPr>
      <w:r w:rsidRPr="004304AA">
        <w:rPr>
          <w:rFonts w:ascii="Arial" w:hAnsi="Arial" w:cs="Arial"/>
          <w:color w:val="2A2D35"/>
        </w:rPr>
        <w:t>you are at least age 60 and have ceased gainful employment since turning 60</w:t>
      </w:r>
    </w:p>
    <w:p w14:paraId="4AC7C6AC" w14:textId="77777777" w:rsidR="004304AA" w:rsidRPr="004304AA" w:rsidRDefault="004304AA" w:rsidP="004304AA">
      <w:pPr>
        <w:pStyle w:val="ListParagraph"/>
        <w:numPr>
          <w:ilvl w:val="0"/>
          <w:numId w:val="46"/>
        </w:numPr>
        <w:autoSpaceDE w:val="0"/>
        <w:autoSpaceDN w:val="0"/>
        <w:adjustRightInd w:val="0"/>
        <w:spacing w:before="0" w:after="0" w:line="240" w:lineRule="auto"/>
        <w:contextualSpacing/>
        <w:jc w:val="both"/>
        <w:rPr>
          <w:rFonts w:ascii="Arial" w:hAnsi="Arial" w:cs="Arial"/>
          <w:color w:val="2A2D35"/>
        </w:rPr>
      </w:pPr>
      <w:r w:rsidRPr="004304AA">
        <w:rPr>
          <w:rFonts w:ascii="Arial" w:hAnsi="Arial" w:cs="Arial"/>
          <w:color w:val="2A2D35"/>
        </w:rPr>
        <w:t>you have reached age 65</w:t>
      </w:r>
    </w:p>
    <w:p w14:paraId="26DBC55A" w14:textId="6D1D954A" w:rsidR="003B7B06" w:rsidRPr="004304AA" w:rsidRDefault="004304AA" w:rsidP="004304AA">
      <w:pPr>
        <w:pStyle w:val="ListParagraph"/>
        <w:autoSpaceDE w:val="0"/>
        <w:autoSpaceDN w:val="0"/>
        <w:adjustRightInd w:val="0"/>
        <w:spacing w:before="0" w:after="0" w:line="240" w:lineRule="auto"/>
        <w:ind w:left="1440"/>
        <w:contextualSpacing/>
        <w:jc w:val="both"/>
        <w:rPr>
          <w:rFonts w:ascii="Arial" w:hAnsi="Arial" w:cs="Arial"/>
          <w:color w:val="2A2D35"/>
        </w:rPr>
      </w:pPr>
      <w:r w:rsidRPr="004304AA">
        <w:rPr>
          <w:rFonts w:ascii="Arial" w:hAnsi="Arial" w:cs="Arial"/>
          <w:color w:val="2A2D35"/>
        </w:rPr>
        <w:t>you meet another eligible condition of release such as being terminally ill or permanently incapacitated</w:t>
      </w:r>
    </w:p>
    <w:p w14:paraId="221C33D8" w14:textId="77777777" w:rsidR="004304AA" w:rsidRPr="000A224E" w:rsidRDefault="004304AA" w:rsidP="004304AA">
      <w:pPr>
        <w:pStyle w:val="ListParagraph"/>
        <w:numPr>
          <w:ilvl w:val="0"/>
          <w:numId w:val="54"/>
        </w:numPr>
        <w:autoSpaceDE w:val="0"/>
        <w:autoSpaceDN w:val="0"/>
        <w:adjustRightInd w:val="0"/>
        <w:spacing w:before="0" w:after="0" w:line="240" w:lineRule="auto"/>
        <w:contextualSpacing/>
        <w:jc w:val="both"/>
        <w:rPr>
          <w:rFonts w:ascii="Arial" w:hAnsi="Arial" w:cs="Arial"/>
        </w:rPr>
      </w:pPr>
      <w:r w:rsidRPr="004304AA">
        <w:rPr>
          <w:rFonts w:ascii="Arial" w:hAnsi="Arial" w:cs="Arial"/>
          <w:color w:val="2A2D35"/>
        </w:rPr>
        <w:t xml:space="preserve">Once you are aged 60 or over in most cases you will pay no tax on the income stream payments you draw from your transition to retirement income stream. If you are between your preservation age and age 59, part of each payment you receive may be tax free, with the remaining assessable income in your hands and taxed at your marginal tax rate, but in most cases </w:t>
      </w:r>
      <w:r w:rsidRPr="004304AA">
        <w:rPr>
          <w:rFonts w:ascii="Arial" w:hAnsi="Arial" w:cs="Arial"/>
          <w:color w:val="2A2D35"/>
        </w:rPr>
        <w:t>you will receive a 15% tax offset on the taxable payment</w:t>
      </w:r>
      <w:r w:rsidRPr="000A224E">
        <w:rPr>
          <w:rFonts w:ascii="Arial" w:hAnsi="Arial" w:cs="Arial"/>
        </w:rPr>
        <w:t xml:space="preserve">. </w:t>
      </w:r>
    </w:p>
    <w:p w14:paraId="5036C66B" w14:textId="71A1B8DA" w:rsidR="0012386C" w:rsidRDefault="0012386C" w:rsidP="000E731D">
      <w:pPr>
        <w:autoSpaceDE w:val="0"/>
        <w:autoSpaceDN w:val="0"/>
        <w:adjustRightInd w:val="0"/>
        <w:spacing w:before="0" w:after="0" w:line="240" w:lineRule="auto"/>
        <w:rPr>
          <w:rFonts w:asciiTheme="majorHAnsi" w:eastAsia="MS Mincho" w:hAnsiTheme="majorHAnsi" w:cstheme="majorHAnsi"/>
          <w:b/>
          <w:bCs/>
          <w:color w:val="862633"/>
          <w:sz w:val="24"/>
          <w:lang w:bidi="hi-IN"/>
        </w:rPr>
      </w:pPr>
      <w:r w:rsidRPr="000E731D">
        <w:rPr>
          <w:rFonts w:asciiTheme="majorHAnsi" w:eastAsia="MS Mincho" w:hAnsiTheme="majorHAnsi" w:cstheme="majorHAnsi"/>
          <w:b/>
          <w:bCs/>
          <w:color w:val="862633"/>
          <w:sz w:val="24"/>
          <w:lang w:bidi="hi-IN"/>
        </w:rPr>
        <w:t>Why financial advice is important</w:t>
      </w:r>
    </w:p>
    <w:p w14:paraId="6892FB71" w14:textId="77777777" w:rsidR="003B7B06" w:rsidRDefault="003B7B06" w:rsidP="0012386C">
      <w:pPr>
        <w:autoSpaceDE w:val="0"/>
        <w:autoSpaceDN w:val="0"/>
        <w:adjustRightInd w:val="0"/>
        <w:spacing w:before="0" w:after="0" w:line="240" w:lineRule="auto"/>
        <w:contextualSpacing/>
        <w:rPr>
          <w:rFonts w:asciiTheme="majorHAnsi" w:eastAsia="MS Mincho" w:hAnsiTheme="majorHAnsi" w:cstheme="majorHAnsi"/>
          <w:color w:val="000000"/>
          <w:szCs w:val="20"/>
          <w:lang w:bidi="hi-IN"/>
        </w:rPr>
      </w:pPr>
    </w:p>
    <w:p w14:paraId="75CC164B" w14:textId="77777777" w:rsidR="004304AA" w:rsidRPr="004304AA" w:rsidRDefault="004304AA" w:rsidP="004304AA">
      <w:pPr>
        <w:autoSpaceDE w:val="0"/>
        <w:autoSpaceDN w:val="0"/>
        <w:adjustRightInd w:val="0"/>
        <w:spacing w:before="0" w:after="0" w:line="240" w:lineRule="auto"/>
        <w:contextualSpacing/>
        <w:jc w:val="both"/>
        <w:rPr>
          <w:rFonts w:ascii="Arial" w:hAnsi="Arial" w:cs="Arial"/>
          <w:color w:val="2A2D35"/>
        </w:rPr>
      </w:pPr>
      <w:r w:rsidRPr="004304AA">
        <w:rPr>
          <w:rFonts w:asciiTheme="majorHAnsi" w:eastAsia="MS Mincho" w:hAnsiTheme="majorHAnsi" w:cstheme="majorHAnsi"/>
          <w:color w:val="2A2D35"/>
          <w:szCs w:val="20"/>
          <w:lang w:bidi="hi-IN"/>
        </w:rPr>
        <w:t xml:space="preserve">Transition to retirement strategies can be complicated so it’s best to speak to your financial adviser for more information. They can explain the options available for your specific goals and objectives. </w:t>
      </w:r>
    </w:p>
    <w:p w14:paraId="24E20507" w14:textId="77777777" w:rsidR="0012386C" w:rsidRDefault="0012386C" w:rsidP="0012386C">
      <w:pPr>
        <w:autoSpaceDE w:val="0"/>
        <w:autoSpaceDN w:val="0"/>
        <w:adjustRightInd w:val="0"/>
        <w:spacing w:before="0" w:after="0" w:line="240" w:lineRule="auto"/>
        <w:contextualSpacing/>
        <w:rPr>
          <w:rFonts w:ascii="Arial" w:hAnsi="Arial" w:cs="Arial"/>
        </w:rPr>
      </w:pPr>
    </w:p>
    <w:p w14:paraId="0DE793DF" w14:textId="77777777" w:rsidR="0012386C" w:rsidRDefault="0012386C" w:rsidP="0012386C">
      <w:pPr>
        <w:autoSpaceDE w:val="0"/>
        <w:autoSpaceDN w:val="0"/>
        <w:adjustRightInd w:val="0"/>
        <w:spacing w:before="0" w:after="0" w:line="240" w:lineRule="auto"/>
        <w:contextualSpacing/>
        <w:rPr>
          <w:rFonts w:ascii="Arial" w:hAnsi="Arial" w:cs="Arial"/>
        </w:rPr>
      </w:pPr>
    </w:p>
    <w:p w14:paraId="05D08F38" w14:textId="77777777" w:rsidR="004304AA" w:rsidRPr="004304AA" w:rsidRDefault="0012386C" w:rsidP="004304AA">
      <w:pPr>
        <w:autoSpaceDE w:val="0"/>
        <w:autoSpaceDN w:val="0"/>
        <w:adjustRightInd w:val="0"/>
        <w:spacing w:before="0" w:after="0" w:line="240" w:lineRule="auto"/>
        <w:ind w:left="720" w:hanging="720"/>
        <w:jc w:val="both"/>
        <w:rPr>
          <w:rFonts w:ascii="Arial" w:hAnsi="Arial" w:cs="Arial"/>
          <w:color w:val="2A2D35"/>
          <w:sz w:val="16"/>
          <w:szCs w:val="16"/>
        </w:rPr>
      </w:pPr>
      <w:r>
        <w:rPr>
          <w:rFonts w:ascii="Arial" w:hAnsi="Arial" w:cs="Arial"/>
          <w:sz w:val="16"/>
          <w:szCs w:val="16"/>
        </w:rPr>
        <w:t>1</w:t>
      </w:r>
      <w:r>
        <w:rPr>
          <w:rFonts w:ascii="Arial" w:hAnsi="Arial" w:cs="Arial"/>
          <w:sz w:val="16"/>
          <w:szCs w:val="16"/>
        </w:rPr>
        <w:tab/>
      </w:r>
      <w:r w:rsidR="004304AA" w:rsidRPr="004304AA">
        <w:rPr>
          <w:rFonts w:ascii="Arial" w:hAnsi="Arial" w:cs="Arial"/>
          <w:color w:val="2A2D35"/>
          <w:sz w:val="16"/>
          <w:szCs w:val="16"/>
        </w:rPr>
        <w:t>If you have income greater than $250,000, an additional 15% tax may apply to some or all of your concessional contributions.</w:t>
      </w:r>
    </w:p>
    <w:p w14:paraId="2D130B93" w14:textId="77777777" w:rsidR="004304AA" w:rsidRPr="004304AA" w:rsidRDefault="004304AA" w:rsidP="004304AA">
      <w:pPr>
        <w:autoSpaceDE w:val="0"/>
        <w:autoSpaceDN w:val="0"/>
        <w:adjustRightInd w:val="0"/>
        <w:spacing w:before="0" w:after="0" w:line="240" w:lineRule="auto"/>
        <w:jc w:val="both"/>
        <w:rPr>
          <w:rFonts w:ascii="Arial" w:hAnsi="Arial" w:cs="Arial"/>
          <w:color w:val="2A2D35"/>
          <w:sz w:val="16"/>
          <w:szCs w:val="16"/>
        </w:rPr>
      </w:pPr>
    </w:p>
    <w:p w14:paraId="4EAFC1A9" w14:textId="77777777" w:rsidR="004304AA" w:rsidRPr="004304AA" w:rsidRDefault="004304AA" w:rsidP="004304AA">
      <w:pPr>
        <w:autoSpaceDE w:val="0"/>
        <w:autoSpaceDN w:val="0"/>
        <w:adjustRightInd w:val="0"/>
        <w:spacing w:before="0" w:after="0" w:line="240" w:lineRule="auto"/>
        <w:ind w:left="720" w:hanging="720"/>
        <w:jc w:val="both"/>
        <w:rPr>
          <w:rFonts w:ascii="Arial" w:hAnsi="Arial" w:cs="Arial"/>
          <w:color w:val="2A2D35"/>
          <w:sz w:val="16"/>
          <w:szCs w:val="16"/>
          <w:lang w:eastAsia="en-AU"/>
        </w:rPr>
      </w:pPr>
      <w:r w:rsidRPr="004304AA">
        <w:rPr>
          <w:rFonts w:ascii="Arial" w:hAnsi="Arial" w:cs="Arial"/>
          <w:color w:val="2A2D35"/>
          <w:sz w:val="16"/>
          <w:szCs w:val="16"/>
        </w:rPr>
        <w:t>2</w:t>
      </w:r>
      <w:r w:rsidRPr="004304AA">
        <w:rPr>
          <w:rFonts w:ascii="HelveticaNeueLTStd-LtCn" w:eastAsia="MS Mincho" w:hAnsi="HelveticaNeueLTStd-LtCn" w:cs="HelveticaNeueLTStd-LtCn"/>
          <w:color w:val="2A2D35"/>
          <w:sz w:val="14"/>
          <w:szCs w:val="14"/>
          <w:lang w:bidi="hi-IN"/>
        </w:rPr>
        <w:tab/>
      </w:r>
      <w:r w:rsidRPr="004304AA">
        <w:rPr>
          <w:rFonts w:ascii="Arial" w:hAnsi="Arial" w:cs="Arial"/>
          <w:color w:val="2A2D35"/>
          <w:sz w:val="16"/>
          <w:szCs w:val="16"/>
          <w:lang w:eastAsia="en-AU"/>
        </w:rPr>
        <w:t>Excess non-concessional contributions tax of 47% is imposed on excess non</w:t>
      </w:r>
      <w:r w:rsidRPr="004304AA">
        <w:rPr>
          <w:rFonts w:ascii="Cambria Math" w:hAnsi="Cambria Math" w:cs="Cambria Math"/>
          <w:color w:val="2A2D35"/>
          <w:sz w:val="16"/>
          <w:szCs w:val="16"/>
          <w:lang w:eastAsia="en-AU"/>
        </w:rPr>
        <w:t>‑</w:t>
      </w:r>
      <w:r w:rsidRPr="004304AA">
        <w:rPr>
          <w:rFonts w:ascii="Arial" w:hAnsi="Arial" w:cs="Arial"/>
          <w:color w:val="2A2D35"/>
          <w:sz w:val="16"/>
          <w:szCs w:val="16"/>
          <w:lang w:eastAsia="en-AU"/>
        </w:rPr>
        <w:t>concessional contributions that remain in a superannuation interest. However, from 1 July 2018 excess non-concessional contributions, plus 85% of an associated earnings amount, will be released from super where possible by the ATO as a default option, to prevent a taxpayer paying 47% tax on the excess non</w:t>
      </w:r>
      <w:r w:rsidRPr="004304AA">
        <w:rPr>
          <w:rFonts w:ascii="Cambria Math" w:hAnsi="Cambria Math" w:cs="Cambria Math"/>
          <w:color w:val="2A2D35"/>
          <w:sz w:val="16"/>
          <w:szCs w:val="16"/>
          <w:lang w:eastAsia="en-AU"/>
        </w:rPr>
        <w:t>‑</w:t>
      </w:r>
      <w:r w:rsidRPr="004304AA">
        <w:rPr>
          <w:rFonts w:ascii="Arial" w:hAnsi="Arial" w:cs="Arial"/>
          <w:color w:val="2A2D35"/>
          <w:sz w:val="16"/>
          <w:szCs w:val="16"/>
          <w:lang w:eastAsia="en-AU"/>
        </w:rPr>
        <w:t xml:space="preserve">concessional contributions. The associated earnings amount is assessable income of the member personally and is taxed at their marginal tax rate less a 15% non-refundable tax offset. </w:t>
      </w:r>
    </w:p>
    <w:p w14:paraId="47A554FC" w14:textId="77777777" w:rsidR="004304AA" w:rsidRPr="004304AA" w:rsidRDefault="004304AA" w:rsidP="004304AA">
      <w:pPr>
        <w:autoSpaceDE w:val="0"/>
        <w:autoSpaceDN w:val="0"/>
        <w:adjustRightInd w:val="0"/>
        <w:spacing w:before="0" w:after="0" w:line="240" w:lineRule="auto"/>
        <w:ind w:left="720"/>
        <w:jc w:val="both"/>
        <w:rPr>
          <w:rFonts w:asciiTheme="majorHAnsi" w:eastAsia="MS Mincho" w:hAnsiTheme="majorHAnsi" w:cstheme="majorHAnsi"/>
          <w:color w:val="2A2D35"/>
          <w:sz w:val="16"/>
          <w:szCs w:val="16"/>
          <w:lang w:bidi="hi-IN"/>
        </w:rPr>
      </w:pPr>
      <w:r w:rsidRPr="004304AA">
        <w:rPr>
          <w:rFonts w:ascii="Arial" w:hAnsi="Arial" w:cs="Arial"/>
          <w:color w:val="2A2D35"/>
          <w:sz w:val="16"/>
          <w:szCs w:val="16"/>
          <w:lang w:eastAsia="en-AU"/>
        </w:rPr>
        <w:t>Alternatively, a member may elect that the excess amount not be released from a superannuation interest. In this event, the ATO will issue the individual an excess non-concessional contributions tax assessment for 47% of the excess amount. An individual may also be liable to pay a general interest charge where the excess non-concessional contributions tax liability is not paid by the due date.</w:t>
      </w:r>
    </w:p>
    <w:p w14:paraId="2CBA2EF3" w14:textId="77777777" w:rsidR="004304AA" w:rsidRPr="004304AA" w:rsidRDefault="004304AA" w:rsidP="004304AA">
      <w:pPr>
        <w:keepNext/>
        <w:keepLines/>
        <w:spacing w:after="60" w:line="240" w:lineRule="auto"/>
        <w:ind w:left="720" w:hanging="720"/>
        <w:jc w:val="both"/>
        <w:rPr>
          <w:rFonts w:asciiTheme="majorHAnsi" w:eastAsia="MS Mincho" w:hAnsiTheme="majorHAnsi" w:cstheme="majorHAnsi"/>
          <w:color w:val="2A2D35"/>
          <w:sz w:val="16"/>
          <w:szCs w:val="16"/>
          <w:lang w:bidi="hi-IN"/>
        </w:rPr>
      </w:pPr>
      <w:r w:rsidRPr="004304AA">
        <w:rPr>
          <w:rFonts w:asciiTheme="majorHAnsi" w:eastAsia="MS Mincho" w:hAnsiTheme="majorHAnsi" w:cstheme="majorHAnsi"/>
          <w:color w:val="2A2D35"/>
          <w:sz w:val="16"/>
          <w:szCs w:val="16"/>
          <w:lang w:bidi="hi-IN"/>
        </w:rPr>
        <w:t>3</w:t>
      </w:r>
      <w:r w:rsidRPr="004304AA">
        <w:rPr>
          <w:rFonts w:asciiTheme="majorHAnsi" w:eastAsia="MS Mincho" w:hAnsiTheme="majorHAnsi" w:cstheme="majorHAnsi"/>
          <w:color w:val="2A2D35"/>
          <w:sz w:val="16"/>
          <w:szCs w:val="16"/>
          <w:lang w:bidi="hi-IN"/>
        </w:rPr>
        <w:tab/>
        <w:t>Contributions caps were significantly reduced from 1 July 2017. Higher concessional and non-concessional contributions caps applied for the 2016-17 financial year.</w:t>
      </w:r>
    </w:p>
    <w:p w14:paraId="7DA7ED3A" w14:textId="77777777" w:rsidR="004304AA" w:rsidRPr="004304AA" w:rsidRDefault="004304AA" w:rsidP="004304AA">
      <w:pPr>
        <w:keepNext/>
        <w:keepLines/>
        <w:spacing w:after="60" w:line="240" w:lineRule="auto"/>
        <w:ind w:left="720" w:hanging="720"/>
        <w:jc w:val="both"/>
        <w:rPr>
          <w:rFonts w:asciiTheme="majorHAnsi" w:eastAsia="MS Mincho" w:hAnsiTheme="majorHAnsi" w:cstheme="majorHAnsi"/>
          <w:color w:val="2A2D35"/>
          <w:sz w:val="16"/>
          <w:szCs w:val="16"/>
          <w:lang w:bidi="hi-IN"/>
        </w:rPr>
      </w:pPr>
      <w:r w:rsidRPr="004304AA">
        <w:rPr>
          <w:rFonts w:asciiTheme="majorHAnsi" w:eastAsia="MS Mincho" w:hAnsiTheme="majorHAnsi" w:cstheme="majorHAnsi"/>
          <w:color w:val="2A2D35"/>
          <w:sz w:val="16"/>
          <w:szCs w:val="16"/>
          <w:lang w:bidi="hi-IN"/>
        </w:rPr>
        <w:t>4</w:t>
      </w:r>
      <w:r w:rsidRPr="004304AA">
        <w:rPr>
          <w:rFonts w:asciiTheme="majorHAnsi" w:eastAsia="MS Mincho" w:hAnsiTheme="majorHAnsi" w:cstheme="majorHAnsi"/>
          <w:color w:val="2A2D35"/>
          <w:sz w:val="16"/>
          <w:szCs w:val="16"/>
          <w:lang w:bidi="hi-IN"/>
        </w:rPr>
        <w:tab/>
        <w:t>Total super balance is broadly the total of all your superannuation accounts, whether in the accumulation or pension phase.</w:t>
      </w:r>
    </w:p>
    <w:p w14:paraId="2E44B8D1" w14:textId="77777777" w:rsidR="004304AA" w:rsidRPr="004304AA" w:rsidRDefault="004304AA" w:rsidP="004304AA">
      <w:pPr>
        <w:keepNext/>
        <w:keepLines/>
        <w:spacing w:after="60" w:line="240" w:lineRule="auto"/>
        <w:ind w:left="720" w:hanging="720"/>
        <w:jc w:val="both"/>
        <w:rPr>
          <w:rFonts w:asciiTheme="majorHAnsi" w:eastAsia="MS Mincho" w:hAnsiTheme="majorHAnsi" w:cstheme="majorHAnsi"/>
          <w:color w:val="2A2D35"/>
          <w:sz w:val="16"/>
          <w:szCs w:val="16"/>
          <w:lang w:bidi="hi-IN"/>
        </w:rPr>
      </w:pPr>
      <w:r w:rsidRPr="004304AA">
        <w:rPr>
          <w:rFonts w:asciiTheme="majorHAnsi" w:eastAsia="MS Mincho" w:hAnsiTheme="majorHAnsi" w:cstheme="majorHAnsi"/>
          <w:color w:val="2A2D35"/>
          <w:sz w:val="16"/>
          <w:szCs w:val="16"/>
          <w:lang w:bidi="hi-IN"/>
        </w:rPr>
        <w:t>5</w:t>
      </w:r>
      <w:r w:rsidRPr="004304AA">
        <w:rPr>
          <w:rFonts w:asciiTheme="majorHAnsi" w:eastAsia="MS Mincho" w:hAnsiTheme="majorHAnsi" w:cstheme="majorHAnsi"/>
          <w:color w:val="2A2D35"/>
          <w:sz w:val="16"/>
          <w:szCs w:val="16"/>
          <w:lang w:bidi="hi-IN"/>
        </w:rPr>
        <w:tab/>
        <w:t xml:space="preserve">The Government proposed in the 2019 Federal Budget, effective 1 July 2020, to allow people age under 67 at any time during a financial year (e.g. </w:t>
      </w:r>
      <w:proofErr w:type="gramStart"/>
      <w:r w:rsidRPr="004304AA">
        <w:rPr>
          <w:rFonts w:asciiTheme="majorHAnsi" w:eastAsia="MS Mincho" w:hAnsiTheme="majorHAnsi" w:cstheme="majorHAnsi"/>
          <w:color w:val="2A2D35"/>
          <w:sz w:val="16"/>
          <w:szCs w:val="16"/>
          <w:lang w:bidi="hi-IN"/>
        </w:rPr>
        <w:t>65 and 66 year</w:t>
      </w:r>
      <w:proofErr w:type="gramEnd"/>
      <w:r w:rsidRPr="004304AA">
        <w:rPr>
          <w:rFonts w:asciiTheme="majorHAnsi" w:eastAsia="MS Mincho" w:hAnsiTheme="majorHAnsi" w:cstheme="majorHAnsi"/>
          <w:color w:val="2A2D35"/>
          <w:sz w:val="16"/>
          <w:szCs w:val="16"/>
          <w:lang w:bidi="hi-IN"/>
        </w:rPr>
        <w:t xml:space="preserve"> </w:t>
      </w:r>
      <w:proofErr w:type="spellStart"/>
      <w:r w:rsidRPr="004304AA">
        <w:rPr>
          <w:rFonts w:asciiTheme="majorHAnsi" w:eastAsia="MS Mincho" w:hAnsiTheme="majorHAnsi" w:cstheme="majorHAnsi"/>
          <w:color w:val="2A2D35"/>
          <w:sz w:val="16"/>
          <w:szCs w:val="16"/>
          <w:lang w:bidi="hi-IN"/>
        </w:rPr>
        <w:t>olds</w:t>
      </w:r>
      <w:proofErr w:type="spellEnd"/>
      <w:r w:rsidRPr="004304AA">
        <w:rPr>
          <w:rFonts w:asciiTheme="majorHAnsi" w:eastAsia="MS Mincho" w:hAnsiTheme="majorHAnsi" w:cstheme="majorHAnsi"/>
          <w:color w:val="2A2D35"/>
          <w:sz w:val="16"/>
          <w:szCs w:val="16"/>
          <w:lang w:bidi="hi-IN"/>
        </w:rPr>
        <w:t>) to trigger the non-concessional bring-forward rule. At the time of writing this proposal is not yet law.</w:t>
      </w:r>
    </w:p>
    <w:p w14:paraId="1D72EF63" w14:textId="77777777" w:rsidR="004304AA" w:rsidRPr="004304AA" w:rsidRDefault="004304AA" w:rsidP="004304AA">
      <w:pPr>
        <w:spacing w:after="200" w:line="240" w:lineRule="auto"/>
        <w:ind w:left="720" w:hanging="720"/>
        <w:jc w:val="both"/>
        <w:rPr>
          <w:rFonts w:asciiTheme="majorHAnsi" w:eastAsia="MS Mincho" w:hAnsiTheme="majorHAnsi" w:cstheme="majorHAnsi"/>
          <w:color w:val="2A2D35"/>
          <w:sz w:val="16"/>
          <w:szCs w:val="16"/>
          <w:highlight w:val="yellow"/>
          <w:lang w:bidi="hi-IN"/>
        </w:rPr>
      </w:pPr>
      <w:r w:rsidRPr="004304AA">
        <w:rPr>
          <w:rFonts w:asciiTheme="majorHAnsi" w:eastAsia="MS Mincho" w:hAnsiTheme="majorHAnsi" w:cstheme="majorHAnsi"/>
          <w:color w:val="2A2D35"/>
          <w:sz w:val="16"/>
          <w:szCs w:val="16"/>
          <w:lang w:bidi="hi-IN"/>
        </w:rPr>
        <w:t>6</w:t>
      </w:r>
      <w:r w:rsidRPr="004304AA">
        <w:rPr>
          <w:rFonts w:asciiTheme="majorHAnsi" w:eastAsia="MS Mincho" w:hAnsiTheme="majorHAnsi" w:cstheme="majorHAnsi"/>
          <w:color w:val="2A2D35"/>
          <w:sz w:val="16"/>
          <w:szCs w:val="16"/>
          <w:lang w:bidi="hi-IN"/>
        </w:rPr>
        <w:tab/>
      </w:r>
      <w:r w:rsidRPr="004304AA">
        <w:rPr>
          <w:rFonts w:asciiTheme="majorHAnsi" w:hAnsiTheme="majorHAnsi" w:cstheme="majorHAnsi"/>
          <w:color w:val="2A2D35"/>
          <w:sz w:val="16"/>
          <w:szCs w:val="16"/>
          <w:lang w:eastAsia="en-AU"/>
        </w:rPr>
        <w:t>Preserved and restricted non</w:t>
      </w:r>
      <w:r w:rsidRPr="004304AA">
        <w:rPr>
          <w:rFonts w:ascii="Cambria Math" w:hAnsi="Cambria Math" w:cs="Cambria Math"/>
          <w:color w:val="2A2D35"/>
          <w:sz w:val="16"/>
          <w:szCs w:val="16"/>
          <w:lang w:eastAsia="en-AU"/>
        </w:rPr>
        <w:t>‑</w:t>
      </w:r>
      <w:r w:rsidRPr="004304AA">
        <w:rPr>
          <w:rFonts w:asciiTheme="majorHAnsi" w:hAnsiTheme="majorHAnsi" w:cstheme="majorHAnsi"/>
          <w:color w:val="2A2D35"/>
          <w:sz w:val="16"/>
          <w:szCs w:val="16"/>
          <w:lang w:eastAsia="en-AU"/>
        </w:rPr>
        <w:t>preserved benefits are accumulated super benefits that are unable to be cashed out because you have not satisfied the appropriate condition of release e.g. being permanently retired after reaching your preservation age. Unrestricted non-preserved benefits may be accessed at any time. For more information, contact your super fund or seek professional financial advice.</w:t>
      </w:r>
    </w:p>
    <w:p w14:paraId="068082A2" w14:textId="5D566B0D" w:rsidR="00C61114" w:rsidRPr="004304AA" w:rsidRDefault="00C61114" w:rsidP="004304AA">
      <w:pPr>
        <w:autoSpaceDE w:val="0"/>
        <w:autoSpaceDN w:val="0"/>
        <w:adjustRightInd w:val="0"/>
        <w:spacing w:before="0" w:after="0" w:line="240" w:lineRule="auto"/>
        <w:ind w:left="720" w:hanging="720"/>
        <w:jc w:val="both"/>
        <w:rPr>
          <w:rFonts w:ascii="GNBVB J+ Helvetica Neue LT" w:eastAsia="MS Mincho" w:hAnsi="GNBVB J+ Helvetica Neue LT" w:cs="GNBVB J+ Helvetica Neue LT"/>
          <w:color w:val="2A2D35"/>
          <w:sz w:val="19"/>
          <w:szCs w:val="19"/>
          <w:highlight w:val="yellow"/>
          <w:lang w:bidi="hi-IN"/>
        </w:rPr>
      </w:pPr>
    </w:p>
    <w:p w14:paraId="4793F517" w14:textId="3E7B16A0" w:rsidR="00C61114" w:rsidRPr="00F54362" w:rsidRDefault="00C61114" w:rsidP="00EC3A7C">
      <w:pPr>
        <w:autoSpaceDE w:val="0"/>
        <w:autoSpaceDN w:val="0"/>
        <w:adjustRightInd w:val="0"/>
        <w:spacing w:before="0" w:after="0" w:line="240" w:lineRule="auto"/>
        <w:rPr>
          <w:rFonts w:ascii="GNBVB J+ Helvetica Neue LT" w:eastAsia="MS Mincho" w:hAnsi="GNBVB J+ Helvetica Neue LT" w:cs="GNBVB J+ Helvetica Neue LT"/>
          <w:color w:val="000000"/>
          <w:sz w:val="19"/>
          <w:szCs w:val="19"/>
          <w:highlight w:val="yellow"/>
          <w:lang w:bidi="hi-IN"/>
        </w:rPr>
      </w:pPr>
    </w:p>
    <w:p w14:paraId="064343CF" w14:textId="79AAD7F0" w:rsidR="00A96019" w:rsidRPr="00F54362" w:rsidRDefault="00A96019" w:rsidP="00EC3A7C">
      <w:pPr>
        <w:autoSpaceDE w:val="0"/>
        <w:autoSpaceDN w:val="0"/>
        <w:adjustRightInd w:val="0"/>
        <w:spacing w:before="0" w:after="0" w:line="240" w:lineRule="auto"/>
        <w:rPr>
          <w:rFonts w:ascii="GNBVB J+ Helvetica Neue LT" w:eastAsia="MS Mincho" w:hAnsi="GNBVB J+ Helvetica Neue LT" w:cs="GNBVB J+ Helvetica Neue LT"/>
          <w:color w:val="000000"/>
          <w:sz w:val="19"/>
          <w:szCs w:val="19"/>
          <w:highlight w:val="yellow"/>
          <w:lang w:bidi="hi-IN"/>
        </w:rPr>
      </w:pPr>
    </w:p>
    <w:p w14:paraId="5D8D14FE" w14:textId="5866CF76" w:rsidR="00A96019" w:rsidRPr="00F54362" w:rsidRDefault="00A96019" w:rsidP="00EC3A7C">
      <w:pPr>
        <w:autoSpaceDE w:val="0"/>
        <w:autoSpaceDN w:val="0"/>
        <w:adjustRightInd w:val="0"/>
        <w:spacing w:before="0" w:after="0" w:line="240" w:lineRule="auto"/>
        <w:rPr>
          <w:rFonts w:ascii="GNBVB J+ Helvetica Neue LT" w:eastAsia="MS Mincho" w:hAnsi="GNBVB J+ Helvetica Neue LT" w:cs="GNBVB J+ Helvetica Neue LT"/>
          <w:color w:val="000000"/>
          <w:sz w:val="19"/>
          <w:szCs w:val="19"/>
          <w:highlight w:val="yellow"/>
          <w:lang w:bidi="hi-IN"/>
        </w:rPr>
      </w:pPr>
    </w:p>
    <w:p w14:paraId="086B4857" w14:textId="406376C0" w:rsidR="00A96019" w:rsidRPr="00F54362" w:rsidRDefault="00A96019" w:rsidP="00EC3A7C">
      <w:pPr>
        <w:autoSpaceDE w:val="0"/>
        <w:autoSpaceDN w:val="0"/>
        <w:adjustRightInd w:val="0"/>
        <w:spacing w:before="0" w:after="0" w:line="240" w:lineRule="auto"/>
        <w:rPr>
          <w:rFonts w:ascii="GNBVB J+ Helvetica Neue LT" w:eastAsia="MS Mincho" w:hAnsi="GNBVB J+ Helvetica Neue LT" w:cs="GNBVB J+ Helvetica Neue LT"/>
          <w:color w:val="000000"/>
          <w:sz w:val="19"/>
          <w:szCs w:val="19"/>
          <w:highlight w:val="yellow"/>
          <w:lang w:bidi="hi-IN"/>
        </w:rPr>
      </w:pPr>
    </w:p>
    <w:p w14:paraId="16C2F2F2" w14:textId="717C225C" w:rsidR="00A96019" w:rsidRPr="00F54362" w:rsidRDefault="00A96019" w:rsidP="00EC3A7C">
      <w:pPr>
        <w:autoSpaceDE w:val="0"/>
        <w:autoSpaceDN w:val="0"/>
        <w:adjustRightInd w:val="0"/>
        <w:spacing w:before="0" w:after="0" w:line="240" w:lineRule="auto"/>
        <w:rPr>
          <w:rFonts w:ascii="GNBVB J+ Helvetica Neue LT" w:eastAsia="MS Mincho" w:hAnsi="GNBVB J+ Helvetica Neue LT" w:cs="GNBVB J+ Helvetica Neue LT"/>
          <w:color w:val="000000"/>
          <w:sz w:val="19"/>
          <w:szCs w:val="19"/>
          <w:highlight w:val="yellow"/>
          <w:lang w:bidi="hi-IN"/>
        </w:rPr>
      </w:pPr>
    </w:p>
    <w:p w14:paraId="2780A88C" w14:textId="77777777" w:rsidR="00F4749B" w:rsidRPr="00F54362" w:rsidRDefault="00F4749B" w:rsidP="00EC3A7C">
      <w:pPr>
        <w:autoSpaceDE w:val="0"/>
        <w:autoSpaceDN w:val="0"/>
        <w:adjustRightInd w:val="0"/>
        <w:spacing w:before="0" w:after="0" w:line="240" w:lineRule="auto"/>
        <w:rPr>
          <w:rFonts w:ascii="GNBVB J+ Helvetica Neue LT" w:eastAsia="MS Mincho" w:hAnsi="GNBVB J+ Helvetica Neue LT" w:cs="GNBVB J+ Helvetica Neue LT"/>
          <w:color w:val="000000"/>
          <w:sz w:val="19"/>
          <w:szCs w:val="19"/>
          <w:highlight w:val="yellow"/>
          <w:lang w:bidi="hi-IN"/>
        </w:rPr>
      </w:pPr>
    </w:p>
    <w:p w14:paraId="679E12D4" w14:textId="742EA18D" w:rsidR="00C61114" w:rsidRDefault="00C61114" w:rsidP="00C61114">
      <w:pPr>
        <w:autoSpaceDE w:val="0"/>
        <w:autoSpaceDN w:val="0"/>
        <w:adjustRightInd w:val="0"/>
        <w:spacing w:before="0" w:after="0" w:line="240" w:lineRule="auto"/>
        <w:rPr>
          <w:rFonts w:asciiTheme="majorHAnsi" w:eastAsia="MS Mincho" w:hAnsiTheme="majorHAnsi" w:cstheme="majorHAnsi"/>
          <w:color w:val="000000"/>
          <w:sz w:val="16"/>
          <w:szCs w:val="16"/>
          <w:highlight w:val="yellow"/>
          <w:lang w:bidi="hi-IN"/>
        </w:rPr>
      </w:pPr>
    </w:p>
    <w:p w14:paraId="61F50F76" w14:textId="77777777" w:rsidR="00013416" w:rsidRPr="00013416" w:rsidRDefault="00013416" w:rsidP="00013416">
      <w:pPr>
        <w:spacing w:before="0" w:after="200" w:line="276" w:lineRule="auto"/>
        <w:contextualSpacing/>
        <w:rPr>
          <w:rFonts w:asciiTheme="majorHAnsi" w:eastAsia="MS Mincho" w:hAnsiTheme="majorHAnsi" w:cstheme="majorHAnsi"/>
          <w:color w:val="000000"/>
          <w:sz w:val="16"/>
          <w:szCs w:val="16"/>
          <w:lang w:bidi="hi-IN"/>
        </w:rPr>
      </w:pPr>
    </w:p>
    <w:p w14:paraId="59138B2A" w14:textId="623D9E52" w:rsidR="00EC3A7C" w:rsidRDefault="00F548F1" w:rsidP="00EC3A7C">
      <w:pPr>
        <w:autoSpaceDE w:val="0"/>
        <w:autoSpaceDN w:val="0"/>
        <w:adjustRightInd w:val="0"/>
        <w:spacing w:before="0" w:after="0" w:line="240" w:lineRule="auto"/>
        <w:rPr>
          <w:rFonts w:ascii="GNBVB J+ Helvetica Neue LT" w:eastAsia="MS Mincho" w:hAnsi="GNBVB J+ Helvetica Neue LT" w:cs="GNBVB J+ Helvetica Neue LT"/>
          <w:color w:val="000000"/>
          <w:sz w:val="19"/>
          <w:szCs w:val="19"/>
          <w:lang w:bidi="hi-IN"/>
        </w:rPr>
      </w:pPr>
      <w:r>
        <w:rPr>
          <w:rFonts w:ascii="GNBVB J+ Helvetica Neue LT" w:eastAsia="MS Mincho" w:hAnsi="GNBVB J+ Helvetica Neue LT" w:cs="GNBVB J+ Helvetica Neue LT"/>
          <w:color w:val="000000"/>
          <w:sz w:val="19"/>
          <w:szCs w:val="19"/>
          <w:lang w:bidi="hi-IN"/>
        </w:rPr>
        <w:br/>
      </w:r>
      <w:r>
        <w:rPr>
          <w:rFonts w:ascii="GNBVB J+ Helvetica Neue LT" w:eastAsia="MS Mincho" w:hAnsi="GNBVB J+ Helvetica Neue LT" w:cs="GNBVB J+ Helvetica Neue LT"/>
          <w:color w:val="000000"/>
          <w:sz w:val="19"/>
          <w:szCs w:val="19"/>
          <w:lang w:bidi="hi-IN"/>
        </w:rPr>
        <w:br/>
      </w:r>
      <w:r>
        <w:rPr>
          <w:rFonts w:ascii="GNBVB J+ Helvetica Neue LT" w:eastAsia="MS Mincho" w:hAnsi="GNBVB J+ Helvetica Neue LT" w:cs="GNBVB J+ Helvetica Neue LT"/>
          <w:color w:val="000000"/>
          <w:sz w:val="19"/>
          <w:szCs w:val="19"/>
          <w:lang w:bidi="hi-IN"/>
        </w:rPr>
        <w:br/>
      </w:r>
      <w:r>
        <w:rPr>
          <w:rFonts w:ascii="GNBVB J+ Helvetica Neue LT" w:eastAsia="MS Mincho" w:hAnsi="GNBVB J+ Helvetica Neue LT" w:cs="GNBVB J+ Helvetica Neue LT"/>
          <w:color w:val="000000"/>
          <w:sz w:val="19"/>
          <w:szCs w:val="19"/>
          <w:lang w:bidi="hi-IN"/>
        </w:rPr>
        <w:br/>
      </w:r>
      <w:r w:rsidR="009F0AE2">
        <w:rPr>
          <w:rFonts w:ascii="GNBVB J+ Helvetica Neue LT" w:eastAsia="MS Mincho" w:hAnsi="GNBVB J+ Helvetica Neue LT" w:cs="GNBVB J+ Helvetica Neue LT"/>
          <w:color w:val="000000"/>
          <w:sz w:val="19"/>
          <w:szCs w:val="19"/>
          <w:lang w:bidi="hi-IN"/>
        </w:rPr>
        <w:br/>
      </w:r>
      <w:r w:rsidR="009F0AE2">
        <w:rPr>
          <w:rFonts w:ascii="GNBVB J+ Helvetica Neue LT" w:eastAsia="MS Mincho" w:hAnsi="GNBVB J+ Helvetica Neue LT" w:cs="GNBVB J+ Helvetica Neue LT"/>
          <w:color w:val="000000"/>
          <w:sz w:val="19"/>
          <w:szCs w:val="19"/>
          <w:lang w:bidi="hi-IN"/>
        </w:rPr>
        <w:br/>
      </w:r>
    </w:p>
    <w:p w14:paraId="54BF6598" w14:textId="77777777" w:rsidR="009F0AE2" w:rsidRDefault="009F0AE2" w:rsidP="00EC3A7C">
      <w:pPr>
        <w:autoSpaceDE w:val="0"/>
        <w:autoSpaceDN w:val="0"/>
        <w:adjustRightInd w:val="0"/>
        <w:spacing w:before="0" w:after="0" w:line="240" w:lineRule="auto"/>
        <w:rPr>
          <w:rFonts w:ascii="GNBVB J+ Helvetica Neue LT" w:eastAsia="MS Mincho" w:hAnsi="GNBVB J+ Helvetica Neue LT" w:cs="GNBVB J+ Helvetica Neue LT"/>
          <w:color w:val="000000"/>
          <w:sz w:val="19"/>
          <w:szCs w:val="19"/>
          <w:lang w:bidi="hi-IN"/>
        </w:rPr>
      </w:pPr>
    </w:p>
    <w:p w14:paraId="4DA96C6F" w14:textId="77777777" w:rsidR="009F0AE2" w:rsidRDefault="009F0AE2" w:rsidP="00EC3A7C">
      <w:pPr>
        <w:autoSpaceDE w:val="0"/>
        <w:autoSpaceDN w:val="0"/>
        <w:adjustRightInd w:val="0"/>
        <w:spacing w:before="0" w:after="0" w:line="240" w:lineRule="auto"/>
        <w:rPr>
          <w:rFonts w:ascii="GNBVB J+ Helvetica Neue LT" w:eastAsia="MS Mincho" w:hAnsi="GNBVB J+ Helvetica Neue LT" w:cs="GNBVB J+ Helvetica Neue LT"/>
          <w:color w:val="000000"/>
          <w:sz w:val="19"/>
          <w:szCs w:val="19"/>
          <w:lang w:bidi="hi-IN"/>
        </w:rPr>
      </w:pPr>
    </w:p>
    <w:p w14:paraId="7D89715C" w14:textId="6F2AC915" w:rsidR="00C41190" w:rsidRPr="00B80F37" w:rsidRDefault="00C41190" w:rsidP="001B2C21">
      <w:pPr>
        <w:pStyle w:val="FFbody"/>
        <w:keepNext/>
        <w:keepLines/>
        <w:rPr>
          <w:rFonts w:cs="Arial"/>
          <w:color w:val="000000"/>
          <w:shd w:val="clear" w:color="auto" w:fill="FFFFFF"/>
        </w:rPr>
        <w:sectPr w:rsidR="00C41190" w:rsidRPr="00B80F37" w:rsidSect="00453E4D">
          <w:footerReference w:type="default" r:id="rId12"/>
          <w:headerReference w:type="first" r:id="rId13"/>
          <w:footerReference w:type="first" r:id="rId14"/>
          <w:type w:val="continuous"/>
          <w:pgSz w:w="11907" w:h="16840" w:code="9"/>
          <w:pgMar w:top="1134" w:right="567" w:bottom="1134" w:left="567" w:header="0" w:footer="454" w:gutter="0"/>
          <w:cols w:num="2" w:space="720"/>
          <w:noEndnote/>
          <w:titlePg/>
          <w:docGrid w:linePitch="272"/>
        </w:sectPr>
      </w:pPr>
    </w:p>
    <w:p w14:paraId="3C001F76" w14:textId="7CBD7A2E" w:rsidR="000E731D" w:rsidRDefault="000E731D" w:rsidP="001B2C21">
      <w:pPr>
        <w:spacing w:before="0" w:after="0" w:line="240" w:lineRule="auto"/>
        <w:rPr>
          <w:rFonts w:asciiTheme="majorHAnsi" w:eastAsiaTheme="majorEastAsia" w:hAnsiTheme="majorHAnsi" w:cstheme="majorBidi"/>
          <w:b/>
          <w:bCs/>
          <w:color w:val="293574" w:themeColor="accent1"/>
          <w:sz w:val="24"/>
          <w:szCs w:val="28"/>
        </w:rPr>
      </w:pPr>
    </w:p>
    <w:p w14:paraId="38D0D34F" w14:textId="3C5B4378" w:rsidR="004304AA" w:rsidRDefault="004304AA" w:rsidP="001B2C21">
      <w:pPr>
        <w:spacing w:before="0" w:after="0" w:line="240" w:lineRule="auto"/>
        <w:rPr>
          <w:rFonts w:asciiTheme="majorHAnsi" w:eastAsiaTheme="majorEastAsia" w:hAnsiTheme="majorHAnsi" w:cstheme="majorBidi"/>
          <w:b/>
          <w:bCs/>
          <w:color w:val="293574" w:themeColor="accent1"/>
          <w:sz w:val="24"/>
          <w:szCs w:val="28"/>
        </w:rPr>
      </w:pPr>
      <w:r>
        <w:rPr>
          <w:noProof/>
          <w:lang w:eastAsia="en-AU"/>
        </w:rPr>
        <mc:AlternateContent>
          <mc:Choice Requires="wps">
            <w:drawing>
              <wp:anchor distT="360045" distB="0" distL="114300" distR="114300" simplePos="0" relativeHeight="251752448" behindDoc="0" locked="0" layoutInCell="0" allowOverlap="1" wp14:anchorId="24BB925B" wp14:editId="35258187">
                <wp:simplePos x="0" y="0"/>
                <wp:positionH relativeFrom="margin">
                  <wp:posOffset>-148709</wp:posOffset>
                </wp:positionH>
                <wp:positionV relativeFrom="bottomMargin">
                  <wp:posOffset>-9432839</wp:posOffset>
                </wp:positionV>
                <wp:extent cx="7191375" cy="2957195"/>
                <wp:effectExtent l="0" t="0"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91375" cy="295719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89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39"/>
                              <w:gridCol w:w="5253"/>
                            </w:tblGrid>
                            <w:tr w:rsidR="00941F27" w14:paraId="0405B4F7" w14:textId="77777777" w:rsidTr="00AD1592">
                              <w:trPr>
                                <w:trHeight w:val="300"/>
                              </w:trPr>
                              <w:tc>
                                <w:tcPr>
                                  <w:tcW w:w="10892" w:type="dxa"/>
                                  <w:gridSpan w:val="2"/>
                                  <w:shd w:val="clear" w:color="auto" w:fill="862633"/>
                                  <w:tcMar>
                                    <w:top w:w="113" w:type="dxa"/>
                                    <w:left w:w="113" w:type="dxa"/>
                                    <w:bottom w:w="113" w:type="dxa"/>
                                    <w:right w:w="113" w:type="dxa"/>
                                  </w:tcMar>
                                  <w:hideMark/>
                                </w:tcPr>
                                <w:p w14:paraId="11D3C3A8" w14:textId="0A700B2D" w:rsidR="00941F27" w:rsidRPr="003B7B06" w:rsidRDefault="00941F27" w:rsidP="00D24D12">
                                  <w:pPr>
                                    <w:spacing w:before="0" w:after="0"/>
                                    <w:rPr>
                                      <w:color w:val="FFFFFF" w:themeColor="background1"/>
                                      <w:sz w:val="28"/>
                                      <w:szCs w:val="28"/>
                                    </w:rPr>
                                  </w:pPr>
                                  <w:r w:rsidRPr="003B7B06">
                                    <w:rPr>
                                      <w:color w:val="FFFFFF" w:themeColor="background1"/>
                                      <w:sz w:val="28"/>
                                      <w:szCs w:val="28"/>
                                    </w:rPr>
                                    <w:t>Speak to us for more information</w:t>
                                  </w:r>
                                </w:p>
                              </w:tc>
                            </w:tr>
                            <w:tr w:rsidR="00941F27" w14:paraId="05708BAA" w14:textId="77777777" w:rsidTr="00AD1592">
                              <w:trPr>
                                <w:trHeight w:val="3613"/>
                              </w:trPr>
                              <w:tc>
                                <w:tcPr>
                                  <w:tcW w:w="10892" w:type="dxa"/>
                                  <w:gridSpan w:val="2"/>
                                  <w:tcMar>
                                    <w:top w:w="198" w:type="dxa"/>
                                    <w:left w:w="0" w:type="dxa"/>
                                    <w:bottom w:w="85" w:type="dxa"/>
                                    <w:right w:w="0" w:type="dxa"/>
                                  </w:tcMar>
                                  <w:hideMark/>
                                </w:tcPr>
                                <w:p w14:paraId="54EF3031" w14:textId="77777777" w:rsidR="001C4674" w:rsidRDefault="001C4674" w:rsidP="00781C27">
                                  <w:pPr>
                                    <w:pStyle w:val="Disclaimer"/>
                                    <w:rPr>
                                      <w:b/>
                                      <w:bCs/>
                                      <w:sz w:val="13"/>
                                      <w:szCs w:val="13"/>
                                    </w:rPr>
                                  </w:pPr>
                                </w:p>
                                <w:tbl>
                                  <w:tblPr>
                                    <w:tblStyle w:val="TableGrid"/>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10829"/>
                                  </w:tblGrid>
                                  <w:tr w:rsidR="001C4674" w:rsidRPr="00EE43B8" w14:paraId="3980BF7D" w14:textId="77777777" w:rsidTr="00AD1592">
                                    <w:trPr>
                                      <w:trHeight w:hRule="exact" w:val="972"/>
                                    </w:trPr>
                                    <w:tc>
                                      <w:tcPr>
                                        <w:tcW w:w="10829" w:type="dxa"/>
                                        <w:shd w:val="clear" w:color="auto" w:fill="ECECEC"/>
                                        <w:tcMar>
                                          <w:top w:w="113" w:type="dxa"/>
                                          <w:left w:w="113" w:type="dxa"/>
                                          <w:bottom w:w="28" w:type="dxa"/>
                                          <w:right w:w="113" w:type="dxa"/>
                                        </w:tcMar>
                                        <w:vAlign w:val="center"/>
                                      </w:tcPr>
                                      <w:p w14:paraId="64BCC93B" w14:textId="77777777" w:rsidR="001C4674" w:rsidRPr="001C4674" w:rsidRDefault="001C4674" w:rsidP="001C4674">
                                        <w:pPr>
                                          <w:pStyle w:val="Signoff"/>
                                          <w:rPr>
                                            <w:sz w:val="22"/>
                                            <w:szCs w:val="22"/>
                                          </w:rPr>
                                        </w:pPr>
                                        <w:r w:rsidRPr="001C4674">
                                          <w:rPr>
                                            <w:sz w:val="22"/>
                                            <w:szCs w:val="22"/>
                                          </w:rPr>
                                          <w:t>If you would like to know more about asset classes and the fundamentals of investing, contact Shannon Smit at Smart Business Solutions Financial Planning for more detailed information on the best approach for your situation</w:t>
                                        </w:r>
                                      </w:p>
                                    </w:tc>
                                  </w:tr>
                                  <w:tr w:rsidR="001C4674" w:rsidRPr="00EE43B8" w14:paraId="1D7403E9" w14:textId="77777777" w:rsidTr="00AD1592">
                                    <w:trPr>
                                      <w:trHeight w:hRule="exact" w:val="361"/>
                                    </w:trPr>
                                    <w:tc>
                                      <w:tcPr>
                                        <w:tcW w:w="10829" w:type="dxa"/>
                                        <w:shd w:val="clear" w:color="auto" w:fill="ECECEC"/>
                                        <w:tcMar>
                                          <w:top w:w="57" w:type="dxa"/>
                                          <w:left w:w="113" w:type="dxa"/>
                                          <w:bottom w:w="113" w:type="dxa"/>
                                          <w:right w:w="113" w:type="dxa"/>
                                        </w:tcMar>
                                        <w:vAlign w:val="center"/>
                                      </w:tcPr>
                                      <w:p w14:paraId="1B3EFD32" w14:textId="77777777" w:rsidR="001C4674" w:rsidRPr="001C4674" w:rsidRDefault="001C4674" w:rsidP="001C4674">
                                        <w:pPr>
                                          <w:pStyle w:val="Signoff"/>
                                          <w:rPr>
                                            <w:color w:val="8A2633"/>
                                            <w:sz w:val="20"/>
                                            <w:szCs w:val="20"/>
                                          </w:rPr>
                                        </w:pPr>
                                        <w:r w:rsidRPr="001C4674">
                                          <w:rPr>
                                            <w:b/>
                                            <w:bCs/>
                                            <w:color w:val="8A2633"/>
                                            <w:sz w:val="20"/>
                                            <w:szCs w:val="20"/>
                                          </w:rPr>
                                          <w:t xml:space="preserve">Phone 03 5911 7000 Email </w:t>
                                        </w:r>
                                        <w:hyperlink r:id="rId15" w:history="1">
                                          <w:r w:rsidRPr="001C4674">
                                            <w:rPr>
                                              <w:rStyle w:val="Hyperlink"/>
                                              <w:bCs/>
                                              <w:color w:val="8A2633"/>
                                              <w:sz w:val="20"/>
                                              <w:szCs w:val="20"/>
                                            </w:rPr>
                                            <w:t>shannon@smartfinancialplanning.com.au</w:t>
                                          </w:r>
                                        </w:hyperlink>
                                        <w:r w:rsidRPr="001C4674">
                                          <w:rPr>
                                            <w:b/>
                                            <w:bCs/>
                                            <w:color w:val="8A2633"/>
                                            <w:sz w:val="20"/>
                                            <w:szCs w:val="20"/>
                                          </w:rPr>
                                          <w:t xml:space="preserve">  </w:t>
                                        </w:r>
                                        <w:hyperlink r:id="rId16" w:history="1">
                                          <w:r w:rsidRPr="001C4674">
                                            <w:rPr>
                                              <w:rStyle w:val="Hyperlink"/>
                                              <w:color w:val="8A2633"/>
                                              <w:sz w:val="20"/>
                                              <w:szCs w:val="20"/>
                                            </w:rPr>
                                            <w:t>www.smartfinancialplanning.com.au</w:t>
                                          </w:r>
                                        </w:hyperlink>
                                        <w:r w:rsidRPr="001C4674">
                                          <w:rPr>
                                            <w:color w:val="8A2633"/>
                                            <w:sz w:val="20"/>
                                            <w:szCs w:val="20"/>
                                          </w:rPr>
                                          <w:t xml:space="preserve"> </w:t>
                                        </w:r>
                                      </w:p>
                                      <w:p w14:paraId="5A843863" w14:textId="77777777" w:rsidR="001C4674" w:rsidRPr="001C4674" w:rsidRDefault="001C4674" w:rsidP="001C4674">
                                        <w:pPr>
                                          <w:pStyle w:val="Signoff"/>
                                          <w:rPr>
                                            <w:sz w:val="20"/>
                                            <w:szCs w:val="20"/>
                                          </w:rPr>
                                        </w:pPr>
                                      </w:p>
                                    </w:tc>
                                  </w:tr>
                                </w:tbl>
                                <w:p w14:paraId="587EFF2D" w14:textId="77777777" w:rsidR="001C4674" w:rsidRDefault="001C4674" w:rsidP="00781C27">
                                  <w:pPr>
                                    <w:pStyle w:val="Disclaimer"/>
                                    <w:rPr>
                                      <w:b/>
                                      <w:bCs/>
                                      <w:sz w:val="13"/>
                                      <w:szCs w:val="13"/>
                                    </w:rPr>
                                  </w:pPr>
                                </w:p>
                                <w:p w14:paraId="43025F8C" w14:textId="33763293" w:rsidR="003B7B06" w:rsidRDefault="00941F27" w:rsidP="00781C27">
                                  <w:pPr>
                                    <w:pStyle w:val="Disclaimer"/>
                                    <w:rPr>
                                      <w:b/>
                                      <w:bCs/>
                                      <w:sz w:val="13"/>
                                      <w:szCs w:val="13"/>
                                    </w:rPr>
                                  </w:pPr>
                                  <w:r w:rsidRPr="003B7B06">
                                    <w:rPr>
                                      <w:b/>
                                      <w:bCs/>
                                      <w:sz w:val="13"/>
                                      <w:szCs w:val="13"/>
                                    </w:rPr>
                                    <w:t>Important information</w:t>
                                  </w:r>
                                </w:p>
                                <w:p w14:paraId="69FC0C4B" w14:textId="511399FF" w:rsidR="00941F27" w:rsidRPr="003B7B06" w:rsidRDefault="00941F27" w:rsidP="003B7B06">
                                  <w:pPr>
                                    <w:pStyle w:val="Disclaimer"/>
                                    <w:jc w:val="both"/>
                                    <w:rPr>
                                      <w:sz w:val="13"/>
                                      <w:szCs w:val="13"/>
                                    </w:rPr>
                                  </w:pPr>
                                  <w:r w:rsidRPr="003B7B06">
                                    <w:rPr>
                                      <w:sz w:val="13"/>
                                      <w:szCs w:val="13"/>
                                    </w:rPr>
                                    <w:br/>
                                  </w:r>
                                  <w:r w:rsidR="004304AA" w:rsidRPr="004304AA">
                                    <w:rPr>
                                      <w:color w:val="2A2D35"/>
                                    </w:rPr>
                                    <w:t>This document has been prepared by Count Financial Limited ABN 19 001 974 625, AFSL 227232, (Count). Count is 85% owned by CountPlus Limited ACN 126 990 832 (CountPlus) and 15% owned by Count Member Firm Pty Ltd ACN 633 983 490. CountPlus is listed on the Australian Stock Exchange. Count Member Firm Pty Ltd is owned by Count Member Firm DT Pty Ltd ACN 633 956 073 which holds the assets under a discretionary trust for certain beneficiaries including potentially some corporate authorised representatives of Count Financial Ltd. ‘Count Wealth Accountants’ is a business name of Count. Count advisers are authorised representatives of Count. Information in this document is based on current regulatory requirements and laws, as at 1 July 2020, which may be subject to change. While care has been taken in the preparation of this document, no liability is accepted by Count, its related entities, agents and employees for any loss arising from reliance on this document. This document contains general advice. It does not take account of your individual objectives, financial situation or needs. You should consider talking to a financial adviser before making a financial decision. Count is registered with the Tax Practitioners Board as a Registered Tax (Financial) Adviser. However your authorised representative may not be a Registered Tax Agent. Consequently, tax considerations are general in nature and do not include an assessment of your overall tax position. You should seek tax advice from a Registered Tax Agent. Should you wish to opt out of receiving direct marketing material from your adviser, please notify your adviser by email, phone or in writing.</w:t>
                                  </w:r>
                                </w:p>
                              </w:tc>
                            </w:tr>
                            <w:tr w:rsidR="00941F27" w14:paraId="35B7D349" w14:textId="77777777" w:rsidTr="00AD1592">
                              <w:trPr>
                                <w:trHeight w:val="161"/>
                              </w:trPr>
                              <w:tc>
                                <w:tcPr>
                                  <w:tcW w:w="10892" w:type="dxa"/>
                                  <w:gridSpan w:val="2"/>
                                  <w:tcMar>
                                    <w:top w:w="85" w:type="dxa"/>
                                    <w:left w:w="0" w:type="dxa"/>
                                    <w:bottom w:w="85" w:type="dxa"/>
                                    <w:right w:w="0" w:type="dxa"/>
                                  </w:tcMar>
                                </w:tcPr>
                                <w:p w14:paraId="49AABA3F" w14:textId="77777777" w:rsidR="00941F27" w:rsidRDefault="00941F27" w:rsidP="00D24D12">
                                  <w:pPr>
                                    <w:pStyle w:val="Disclaimer"/>
                                  </w:pPr>
                                </w:p>
                              </w:tc>
                            </w:tr>
                            <w:tr w:rsidR="00941F27" w14:paraId="0CF461B0" w14:textId="77777777" w:rsidTr="00AD1592">
                              <w:trPr>
                                <w:trHeight w:hRule="exact" w:val="14"/>
                              </w:trPr>
                              <w:tc>
                                <w:tcPr>
                                  <w:tcW w:w="5639" w:type="dxa"/>
                                  <w:tcMar>
                                    <w:top w:w="85" w:type="dxa"/>
                                    <w:left w:w="0" w:type="dxa"/>
                                    <w:bottom w:w="85" w:type="dxa"/>
                                    <w:right w:w="0" w:type="dxa"/>
                                  </w:tcMar>
                                  <w:hideMark/>
                                </w:tcPr>
                                <w:p w14:paraId="68316D89" w14:textId="72A3E96F" w:rsidR="00941F27" w:rsidRDefault="00941F27" w:rsidP="00D24D12"/>
                              </w:tc>
                              <w:tc>
                                <w:tcPr>
                                  <w:tcW w:w="5252" w:type="dxa"/>
                                  <w:hideMark/>
                                </w:tcPr>
                                <w:p w14:paraId="4B440EB0" w14:textId="56F92A05" w:rsidR="00941F27" w:rsidRDefault="00941F27" w:rsidP="00D24D12">
                                  <w:pPr>
                                    <w:jc w:val="right"/>
                                  </w:pPr>
                                </w:p>
                              </w:tc>
                            </w:tr>
                          </w:tbl>
                          <w:p w14:paraId="1654580F" w14:textId="77777777" w:rsidR="00941F27" w:rsidRPr="00B416FE" w:rsidRDefault="00941F27" w:rsidP="00941F27">
                            <w:pPr>
                              <w:pStyle w:val="Disclaimer"/>
                            </w:pPr>
                          </w:p>
                        </w:txbxContent>
                      </wps:txbx>
                      <wps:bodyPr rot="0" spcFirstLastPara="0" vertOverflow="overflow" horzOverflow="overflow" vert="horz" wrap="square" lIns="360000" tIns="45720" rIns="36000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BB925B" id="_x0000_t202" coordsize="21600,21600" o:spt="202" path="m,l,21600r21600,l21600,xe">
                <v:stroke joinstyle="miter"/>
                <v:path gradientshapeok="t" o:connecttype="rect"/>
              </v:shapetype>
              <v:shape id="Text Box 2" o:spid="_x0000_s1026" type="#_x0000_t202" style="position:absolute;margin-left:-11.7pt;margin-top:-742.75pt;width:566.25pt;height:232.85pt;z-index:251752448;visibility:visible;mso-wrap-style:square;mso-width-percent:0;mso-height-percent:0;mso-wrap-distance-left:9pt;mso-wrap-distance-top:28.35pt;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" o:allowincell="f" fillcolor="white [3212]" stroked="f" strokeweight=".5pt">
                <v:textbox style="mso-fit-shape-to-text:t" inset="10mm,,10mm">
                  <w:txbxContent>
                    <w:tbl>
                      <w:tblPr>
                        <w:tblStyle w:val="TableGrid"/>
                        <w:tblW w:w="1089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39"/>
                        <w:gridCol w:w="5253"/>
                      </w:tblGrid>
                      <w:tr w:rsidR="00941F27" w14:paraId="0405B4F7" w14:textId="77777777" w:rsidTr="00AD1592">
                        <w:trPr>
                          <w:trHeight w:val="300"/>
                        </w:trPr>
                        <w:tc>
                          <w:tcPr>
                            <w:tcW w:w="10892" w:type="dxa"/>
                            <w:gridSpan w:val="2"/>
                            <w:shd w:val="clear" w:color="auto" w:fill="862633"/>
                            <w:tcMar>
                              <w:top w:w="113" w:type="dxa"/>
                              <w:left w:w="113" w:type="dxa"/>
                              <w:bottom w:w="113" w:type="dxa"/>
                              <w:right w:w="113" w:type="dxa"/>
                            </w:tcMar>
                            <w:hideMark/>
                          </w:tcPr>
                          <w:p w14:paraId="11D3C3A8" w14:textId="0A700B2D" w:rsidR="00941F27" w:rsidRPr="003B7B06" w:rsidRDefault="00941F27" w:rsidP="00D24D12">
                            <w:pPr>
                              <w:spacing w:before="0" w:after="0"/>
                              <w:rPr>
                                <w:color w:val="FFFFFF" w:themeColor="background1"/>
                                <w:sz w:val="28"/>
                                <w:szCs w:val="28"/>
                              </w:rPr>
                            </w:pPr>
                            <w:r w:rsidRPr="003B7B06">
                              <w:rPr>
                                <w:color w:val="FFFFFF" w:themeColor="background1"/>
                                <w:sz w:val="28"/>
                                <w:szCs w:val="28"/>
                              </w:rPr>
                              <w:t>Speak to us for more information</w:t>
                            </w:r>
                          </w:p>
                        </w:tc>
                      </w:tr>
                      <w:tr w:rsidR="00941F27" w14:paraId="05708BAA" w14:textId="77777777" w:rsidTr="00AD1592">
                        <w:trPr>
                          <w:trHeight w:val="3613"/>
                        </w:trPr>
                        <w:tc>
                          <w:tcPr>
                            <w:tcW w:w="10892" w:type="dxa"/>
                            <w:gridSpan w:val="2"/>
                            <w:tcMar>
                              <w:top w:w="198" w:type="dxa"/>
                              <w:left w:w="0" w:type="dxa"/>
                              <w:bottom w:w="85" w:type="dxa"/>
                              <w:right w:w="0" w:type="dxa"/>
                            </w:tcMar>
                            <w:hideMark/>
                          </w:tcPr>
                          <w:p w14:paraId="54EF3031" w14:textId="77777777" w:rsidR="001C4674" w:rsidRDefault="001C4674" w:rsidP="00781C27">
                            <w:pPr>
                              <w:pStyle w:val="Disclaimer"/>
                              <w:rPr>
                                <w:b/>
                                <w:bCs/>
                                <w:sz w:val="13"/>
                                <w:szCs w:val="13"/>
                              </w:rPr>
                            </w:pPr>
                          </w:p>
                          <w:tbl>
                            <w:tblPr>
                              <w:tblStyle w:val="TableGrid"/>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10829"/>
                            </w:tblGrid>
                            <w:tr w:rsidR="001C4674" w:rsidRPr="00EE43B8" w14:paraId="3980BF7D" w14:textId="77777777" w:rsidTr="00AD1592">
                              <w:trPr>
                                <w:trHeight w:hRule="exact" w:val="972"/>
                              </w:trPr>
                              <w:tc>
                                <w:tcPr>
                                  <w:tcW w:w="10829" w:type="dxa"/>
                                  <w:shd w:val="clear" w:color="auto" w:fill="ECECEC"/>
                                  <w:tcMar>
                                    <w:top w:w="113" w:type="dxa"/>
                                    <w:left w:w="113" w:type="dxa"/>
                                    <w:bottom w:w="28" w:type="dxa"/>
                                    <w:right w:w="113" w:type="dxa"/>
                                  </w:tcMar>
                                  <w:vAlign w:val="center"/>
                                </w:tcPr>
                                <w:p w14:paraId="64BCC93B" w14:textId="77777777" w:rsidR="001C4674" w:rsidRPr="001C4674" w:rsidRDefault="001C4674" w:rsidP="001C4674">
                                  <w:pPr>
                                    <w:pStyle w:val="Signoff"/>
                                    <w:rPr>
                                      <w:sz w:val="22"/>
                                      <w:szCs w:val="22"/>
                                    </w:rPr>
                                  </w:pPr>
                                  <w:r w:rsidRPr="001C4674">
                                    <w:rPr>
                                      <w:sz w:val="22"/>
                                      <w:szCs w:val="22"/>
                                    </w:rPr>
                                    <w:t>If you would like to know more about asset classes and the fundamentals of investing, contact Shannon Smit at Smart Business Solutions Financial Planning for more detailed information on the best approach for your situation</w:t>
                                  </w:r>
                                </w:p>
                              </w:tc>
                            </w:tr>
                            <w:tr w:rsidR="001C4674" w:rsidRPr="00EE43B8" w14:paraId="1D7403E9" w14:textId="77777777" w:rsidTr="00AD1592">
                              <w:trPr>
                                <w:trHeight w:hRule="exact" w:val="361"/>
                              </w:trPr>
                              <w:tc>
                                <w:tcPr>
                                  <w:tcW w:w="10829" w:type="dxa"/>
                                  <w:shd w:val="clear" w:color="auto" w:fill="ECECEC"/>
                                  <w:tcMar>
                                    <w:top w:w="57" w:type="dxa"/>
                                    <w:left w:w="113" w:type="dxa"/>
                                    <w:bottom w:w="113" w:type="dxa"/>
                                    <w:right w:w="113" w:type="dxa"/>
                                  </w:tcMar>
                                  <w:vAlign w:val="center"/>
                                </w:tcPr>
                                <w:p w14:paraId="1B3EFD32" w14:textId="77777777" w:rsidR="001C4674" w:rsidRPr="001C4674" w:rsidRDefault="001C4674" w:rsidP="001C4674">
                                  <w:pPr>
                                    <w:pStyle w:val="Signoff"/>
                                    <w:rPr>
                                      <w:color w:val="8A2633"/>
                                      <w:sz w:val="20"/>
                                      <w:szCs w:val="20"/>
                                    </w:rPr>
                                  </w:pPr>
                                  <w:r w:rsidRPr="001C4674">
                                    <w:rPr>
                                      <w:b/>
                                      <w:bCs/>
                                      <w:color w:val="8A2633"/>
                                      <w:sz w:val="20"/>
                                      <w:szCs w:val="20"/>
                                    </w:rPr>
                                    <w:t xml:space="preserve">Phone 03 5911 7000 Email </w:t>
                                  </w:r>
                                  <w:hyperlink r:id="rId17" w:history="1">
                                    <w:r w:rsidRPr="001C4674">
                                      <w:rPr>
                                        <w:rStyle w:val="Hyperlink"/>
                                        <w:bCs/>
                                        <w:color w:val="8A2633"/>
                                        <w:sz w:val="20"/>
                                        <w:szCs w:val="20"/>
                                      </w:rPr>
                                      <w:t>shannon@smartfinancialplanning.com.au</w:t>
                                    </w:r>
                                  </w:hyperlink>
                                  <w:r w:rsidRPr="001C4674">
                                    <w:rPr>
                                      <w:b/>
                                      <w:bCs/>
                                      <w:color w:val="8A2633"/>
                                      <w:sz w:val="20"/>
                                      <w:szCs w:val="20"/>
                                    </w:rPr>
                                    <w:t xml:space="preserve">  </w:t>
                                  </w:r>
                                  <w:hyperlink r:id="rId18" w:history="1">
                                    <w:r w:rsidRPr="001C4674">
                                      <w:rPr>
                                        <w:rStyle w:val="Hyperlink"/>
                                        <w:color w:val="8A2633"/>
                                        <w:sz w:val="20"/>
                                        <w:szCs w:val="20"/>
                                      </w:rPr>
                                      <w:t>www.smartfinancialplanning.com.au</w:t>
                                    </w:r>
                                  </w:hyperlink>
                                  <w:r w:rsidRPr="001C4674">
                                    <w:rPr>
                                      <w:color w:val="8A2633"/>
                                      <w:sz w:val="20"/>
                                      <w:szCs w:val="20"/>
                                    </w:rPr>
                                    <w:t xml:space="preserve"> </w:t>
                                  </w:r>
                                </w:p>
                                <w:p w14:paraId="5A843863" w14:textId="77777777" w:rsidR="001C4674" w:rsidRPr="001C4674" w:rsidRDefault="001C4674" w:rsidP="001C4674">
                                  <w:pPr>
                                    <w:pStyle w:val="Signoff"/>
                                    <w:rPr>
                                      <w:sz w:val="20"/>
                                      <w:szCs w:val="20"/>
                                    </w:rPr>
                                  </w:pPr>
                                </w:p>
                              </w:tc>
                            </w:tr>
                          </w:tbl>
                          <w:p w14:paraId="587EFF2D" w14:textId="77777777" w:rsidR="001C4674" w:rsidRDefault="001C4674" w:rsidP="00781C27">
                            <w:pPr>
                              <w:pStyle w:val="Disclaimer"/>
                              <w:rPr>
                                <w:b/>
                                <w:bCs/>
                                <w:sz w:val="13"/>
                                <w:szCs w:val="13"/>
                              </w:rPr>
                            </w:pPr>
                          </w:p>
                          <w:p w14:paraId="43025F8C" w14:textId="33763293" w:rsidR="003B7B06" w:rsidRDefault="00941F27" w:rsidP="00781C27">
                            <w:pPr>
                              <w:pStyle w:val="Disclaimer"/>
                              <w:rPr>
                                <w:b/>
                                <w:bCs/>
                                <w:sz w:val="13"/>
                                <w:szCs w:val="13"/>
                              </w:rPr>
                            </w:pPr>
                            <w:r w:rsidRPr="003B7B06">
                              <w:rPr>
                                <w:b/>
                                <w:bCs/>
                                <w:sz w:val="13"/>
                                <w:szCs w:val="13"/>
                              </w:rPr>
                              <w:t>Important information</w:t>
                            </w:r>
                          </w:p>
                          <w:p w14:paraId="69FC0C4B" w14:textId="511399FF" w:rsidR="00941F27" w:rsidRPr="003B7B06" w:rsidRDefault="00941F27" w:rsidP="003B7B06">
                            <w:pPr>
                              <w:pStyle w:val="Disclaimer"/>
                              <w:jc w:val="both"/>
                              <w:rPr>
                                <w:sz w:val="13"/>
                                <w:szCs w:val="13"/>
                              </w:rPr>
                            </w:pPr>
                            <w:r w:rsidRPr="003B7B06">
                              <w:rPr>
                                <w:sz w:val="13"/>
                                <w:szCs w:val="13"/>
                              </w:rPr>
                              <w:br/>
                            </w:r>
                            <w:r w:rsidR="004304AA" w:rsidRPr="004304AA">
                              <w:rPr>
                                <w:color w:val="2A2D35"/>
                              </w:rPr>
                              <w:t>This document has been prepared by Count Financial Limited ABN 19 001 974 625, AFSL 227232, (Count). Count is 85% owned by CountPlus Limited ACN 126 990 832 (CountPlus) and 15% owned by Count Member Firm Pty Ltd ACN 633 983 490. CountPlus is listed on the Australian Stock Exchange. Count Member Firm Pty Ltd is owned by Count Member Firm DT Pty Ltd ACN 633 956 073 which holds the assets under a discretionary trust for certain beneficiaries including potentially some corporate authorised representatives of Count Financial Ltd. ‘Count Wealth Accountants’ is a business name of Count. Count advisers are authorised representatives of Count. Information in this document is based on current regulatory requirements and laws, as at 1 July 2020, which may be subject to change. While care has been taken in the preparation of this document, no liability is accepted by Count, its related entities, agents and employees for any loss arising from reliance on this document. This document contains general advice. It does not take account of your individual objectives, financial situation or needs. You should consider talking to a financial adviser before making a financial decision. Count is registered with the Tax Practitioners Board as a Registered Tax (Financial) Adviser. However your authorised representative may not be a Registered Tax Agent. Consequently, tax considerations are general in nature and do not include an assessment of your overall tax position. You should seek tax advice from a Registered Tax Agent. Should you wish to opt out of receiving direct marketing material from your adviser, please notify your adviser by email, phone or in writing.</w:t>
                            </w:r>
                          </w:p>
                        </w:tc>
                      </w:tr>
                      <w:tr w:rsidR="00941F27" w14:paraId="35B7D349" w14:textId="77777777" w:rsidTr="00AD1592">
                        <w:trPr>
                          <w:trHeight w:val="161"/>
                        </w:trPr>
                        <w:tc>
                          <w:tcPr>
                            <w:tcW w:w="10892" w:type="dxa"/>
                            <w:gridSpan w:val="2"/>
                            <w:tcMar>
                              <w:top w:w="85" w:type="dxa"/>
                              <w:left w:w="0" w:type="dxa"/>
                              <w:bottom w:w="85" w:type="dxa"/>
                              <w:right w:w="0" w:type="dxa"/>
                            </w:tcMar>
                          </w:tcPr>
                          <w:p w14:paraId="49AABA3F" w14:textId="77777777" w:rsidR="00941F27" w:rsidRDefault="00941F27" w:rsidP="00D24D12">
                            <w:pPr>
                              <w:pStyle w:val="Disclaimer"/>
                            </w:pPr>
                          </w:p>
                        </w:tc>
                      </w:tr>
                      <w:tr w:rsidR="00941F27" w14:paraId="0CF461B0" w14:textId="77777777" w:rsidTr="00AD1592">
                        <w:trPr>
                          <w:trHeight w:hRule="exact" w:val="14"/>
                        </w:trPr>
                        <w:tc>
                          <w:tcPr>
                            <w:tcW w:w="5639" w:type="dxa"/>
                            <w:tcMar>
                              <w:top w:w="85" w:type="dxa"/>
                              <w:left w:w="0" w:type="dxa"/>
                              <w:bottom w:w="85" w:type="dxa"/>
                              <w:right w:w="0" w:type="dxa"/>
                            </w:tcMar>
                            <w:hideMark/>
                          </w:tcPr>
                          <w:p w14:paraId="68316D89" w14:textId="72A3E96F" w:rsidR="00941F27" w:rsidRDefault="00941F27" w:rsidP="00D24D12"/>
                        </w:tc>
                        <w:tc>
                          <w:tcPr>
                            <w:tcW w:w="5252" w:type="dxa"/>
                            <w:hideMark/>
                          </w:tcPr>
                          <w:p w14:paraId="4B440EB0" w14:textId="56F92A05" w:rsidR="00941F27" w:rsidRDefault="00941F27" w:rsidP="00D24D12">
                            <w:pPr>
                              <w:jc w:val="right"/>
                            </w:pPr>
                          </w:p>
                        </w:tc>
                      </w:tr>
                    </w:tbl>
                    <w:p w14:paraId="1654580F" w14:textId="77777777" w:rsidR="00941F27" w:rsidRPr="00B416FE" w:rsidRDefault="00941F27" w:rsidP="00941F27">
                      <w:pPr>
                        <w:pStyle w:val="Disclaimer"/>
                      </w:pPr>
                    </w:p>
                  </w:txbxContent>
                </v:textbox>
                <w10:wrap anchorx="margin" anchory="margin"/>
              </v:shape>
            </w:pict>
          </mc:Fallback>
        </mc:AlternateContent>
      </w:r>
    </w:p>
    <w:p w14:paraId="50AE698C" w14:textId="77777777" w:rsidR="004304AA" w:rsidRDefault="004304AA" w:rsidP="001B2C21">
      <w:pPr>
        <w:spacing w:before="0" w:after="0" w:line="240" w:lineRule="auto"/>
        <w:rPr>
          <w:rFonts w:asciiTheme="majorHAnsi" w:eastAsiaTheme="majorEastAsia" w:hAnsiTheme="majorHAnsi" w:cstheme="majorBidi"/>
          <w:b/>
          <w:bCs/>
          <w:color w:val="293574" w:themeColor="accent1"/>
          <w:sz w:val="24"/>
          <w:szCs w:val="28"/>
        </w:rPr>
      </w:pPr>
    </w:p>
    <w:p w14:paraId="528463C0" w14:textId="4398149A" w:rsidR="000E731D" w:rsidRDefault="000E731D" w:rsidP="001B2C21">
      <w:pPr>
        <w:spacing w:before="0" w:after="0" w:line="240" w:lineRule="auto"/>
        <w:rPr>
          <w:rFonts w:asciiTheme="majorHAnsi" w:eastAsiaTheme="majorEastAsia" w:hAnsiTheme="majorHAnsi" w:cstheme="majorBidi"/>
          <w:b/>
          <w:bCs/>
          <w:color w:val="293574" w:themeColor="accent1"/>
          <w:sz w:val="24"/>
          <w:szCs w:val="28"/>
        </w:rPr>
      </w:pPr>
    </w:p>
    <w:p w14:paraId="0D8B5203" w14:textId="3C3D5978" w:rsidR="000E731D" w:rsidRDefault="000E731D" w:rsidP="001B2C21">
      <w:pPr>
        <w:spacing w:before="0" w:after="0" w:line="240" w:lineRule="auto"/>
        <w:rPr>
          <w:rFonts w:asciiTheme="majorHAnsi" w:eastAsiaTheme="majorEastAsia" w:hAnsiTheme="majorHAnsi" w:cstheme="majorBidi"/>
          <w:b/>
          <w:bCs/>
          <w:color w:val="293574" w:themeColor="accent1"/>
          <w:sz w:val="24"/>
          <w:szCs w:val="28"/>
        </w:rPr>
      </w:pPr>
    </w:p>
    <w:p w14:paraId="0C641468" w14:textId="77777777" w:rsidR="000E731D" w:rsidRDefault="000E731D" w:rsidP="001B2C21">
      <w:pPr>
        <w:spacing w:before="0" w:after="0" w:line="240" w:lineRule="auto"/>
        <w:rPr>
          <w:rFonts w:asciiTheme="majorHAnsi" w:eastAsiaTheme="majorEastAsia" w:hAnsiTheme="majorHAnsi" w:cstheme="majorBidi"/>
          <w:b/>
          <w:bCs/>
          <w:color w:val="293574" w:themeColor="accent1"/>
          <w:sz w:val="24"/>
          <w:szCs w:val="28"/>
        </w:rPr>
      </w:pPr>
    </w:p>
    <w:p w14:paraId="305CF0B8" w14:textId="62C54460" w:rsidR="000E731D" w:rsidRDefault="000E731D" w:rsidP="001B2C21">
      <w:pPr>
        <w:spacing w:before="0" w:after="0" w:line="240" w:lineRule="auto"/>
        <w:rPr>
          <w:rFonts w:asciiTheme="majorHAnsi" w:eastAsiaTheme="majorEastAsia" w:hAnsiTheme="majorHAnsi" w:cstheme="majorBidi"/>
          <w:b/>
          <w:bCs/>
          <w:color w:val="293574" w:themeColor="accent1"/>
          <w:sz w:val="24"/>
          <w:szCs w:val="28"/>
        </w:rPr>
      </w:pPr>
    </w:p>
    <w:p w14:paraId="1D5D4A64" w14:textId="77777777" w:rsidR="000E731D" w:rsidRDefault="000E731D" w:rsidP="001B2C21">
      <w:pPr>
        <w:spacing w:before="0" w:after="0" w:line="240" w:lineRule="auto"/>
        <w:rPr>
          <w:rFonts w:asciiTheme="majorHAnsi" w:eastAsiaTheme="majorEastAsia" w:hAnsiTheme="majorHAnsi" w:cstheme="majorBidi"/>
          <w:b/>
          <w:bCs/>
          <w:color w:val="293574" w:themeColor="accent1"/>
          <w:sz w:val="24"/>
          <w:szCs w:val="28"/>
        </w:rPr>
      </w:pPr>
    </w:p>
    <w:p w14:paraId="0EF5A5A0" w14:textId="33504527" w:rsidR="00FB2A81" w:rsidRPr="00AB02FD" w:rsidRDefault="00987D6E" w:rsidP="001B2C21">
      <w:pPr>
        <w:spacing w:before="0" w:after="0" w:line="240" w:lineRule="auto"/>
        <w:rPr>
          <w:rFonts w:asciiTheme="majorHAnsi" w:eastAsiaTheme="majorEastAsia" w:hAnsiTheme="majorHAnsi" w:cstheme="majorBidi"/>
          <w:b/>
          <w:bCs/>
          <w:color w:val="293574" w:themeColor="accent1"/>
          <w:sz w:val="24"/>
          <w:szCs w:val="28"/>
        </w:rPr>
      </w:pPr>
      <w:r>
        <w:rPr>
          <w:noProof/>
        </w:rPr>
        <w:drawing>
          <wp:anchor distT="0" distB="0" distL="114300" distR="114300" simplePos="0" relativeHeight="251757568" behindDoc="1" locked="0" layoutInCell="1" allowOverlap="1" wp14:anchorId="0D293A8E" wp14:editId="3CAED1DD">
            <wp:simplePos x="0" y="0"/>
            <wp:positionH relativeFrom="column">
              <wp:posOffset>1293495</wp:posOffset>
            </wp:positionH>
            <wp:positionV relativeFrom="paragraph">
              <wp:posOffset>2143631</wp:posOffset>
            </wp:positionV>
            <wp:extent cx="1067435" cy="529590"/>
            <wp:effectExtent l="0" t="0" r="0" b="3810"/>
            <wp:wrapTight wrapText="bothSides">
              <wp:wrapPolygon edited="0">
                <wp:start x="16961" y="0"/>
                <wp:lineTo x="0" y="4662"/>
                <wp:lineTo x="0" y="19424"/>
                <wp:lineTo x="385" y="20978"/>
                <wp:lineTo x="16961" y="20978"/>
                <wp:lineTo x="17347" y="20978"/>
                <wp:lineTo x="20431" y="12432"/>
                <wp:lineTo x="21202" y="9324"/>
                <wp:lineTo x="21202" y="2331"/>
                <wp:lineTo x="18889" y="0"/>
                <wp:lineTo x="16961" y="0"/>
              </wp:wrapPolygon>
            </wp:wrapTight>
            <wp:docPr id="5" name="Picture 4">
              <a:extLst xmlns:a="http://schemas.openxmlformats.org/drawingml/2006/main">
                <a:ext uri="{FF2B5EF4-FFF2-40B4-BE49-F238E27FC236}">
                  <a16:creationId xmlns:a16="http://schemas.microsoft.com/office/drawing/2014/main" id="{50E2B522-039F-4302-B6BF-7CA8B4BC4653}"/>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0E2B522-039F-4302-B6BF-7CA8B4BC4653}"/>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67435" cy="529590"/>
                    </a:xfrm>
                    <a:prstGeom prst="rect">
                      <a:avLst/>
                    </a:prstGeom>
                  </pic:spPr>
                </pic:pic>
              </a:graphicData>
            </a:graphic>
            <wp14:sizeRelH relativeFrom="page">
              <wp14:pctWidth>0</wp14:pctWidth>
            </wp14:sizeRelH>
            <wp14:sizeRelV relativeFrom="page">
              <wp14:pctHeight>0</wp14:pctHeight>
            </wp14:sizeRelV>
          </wp:anchor>
        </w:drawing>
      </w:r>
      <w:r w:rsidR="00AD1592">
        <w:rPr>
          <w:rFonts w:ascii="Arial" w:hAnsi="Arial"/>
          <w:b/>
          <w:noProof/>
          <w:spacing w:val="-4"/>
          <w:sz w:val="14"/>
          <w:szCs w:val="14"/>
        </w:rPr>
        <w:drawing>
          <wp:anchor distT="0" distB="0" distL="114300" distR="114300" simplePos="0" relativeHeight="251754496" behindDoc="0" locked="0" layoutInCell="1" allowOverlap="1" wp14:anchorId="4639C44C" wp14:editId="2979AA22">
            <wp:simplePos x="0" y="0"/>
            <wp:positionH relativeFrom="margin">
              <wp:align>left</wp:align>
            </wp:positionH>
            <wp:positionV relativeFrom="paragraph">
              <wp:posOffset>2144395</wp:posOffset>
            </wp:positionV>
            <wp:extent cx="1201420" cy="533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BS_Financial Planning_Logo pms.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01420" cy="533400"/>
                    </a:xfrm>
                    <a:prstGeom prst="rect">
                      <a:avLst/>
                    </a:prstGeom>
                  </pic:spPr>
                </pic:pic>
              </a:graphicData>
            </a:graphic>
            <wp14:sizeRelH relativeFrom="margin">
              <wp14:pctWidth>0</wp14:pctWidth>
            </wp14:sizeRelH>
            <wp14:sizeRelV relativeFrom="margin">
              <wp14:pctHeight>0</wp14:pctHeight>
            </wp14:sizeRelV>
          </wp:anchor>
        </w:drawing>
      </w:r>
    </w:p>
    <w:sectPr w:rsidR="00FB2A81" w:rsidRPr="00AB02FD" w:rsidSect="00453E4D">
      <w:type w:val="continuous"/>
      <w:pgSz w:w="11907" w:h="16840" w:code="9"/>
      <w:pgMar w:top="1134" w:right="567" w:bottom="1134" w:left="567" w:header="0" w:footer="45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CF09C" w14:textId="77777777" w:rsidR="00001586" w:rsidRDefault="00001586" w:rsidP="00FE09BB">
      <w:r>
        <w:separator/>
      </w:r>
    </w:p>
  </w:endnote>
  <w:endnote w:type="continuationSeparator" w:id="0">
    <w:p w14:paraId="49D0294A" w14:textId="77777777" w:rsidR="00001586" w:rsidRDefault="00001586" w:rsidP="00FE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NBVB J+ Helvetica Neue L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Std-LtCn">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ACD22" w14:textId="61341524" w:rsidR="00475923" w:rsidRPr="008E276F" w:rsidRDefault="00475923" w:rsidP="008E2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FBB55" w14:textId="77777777" w:rsidR="00475923" w:rsidRDefault="00475923" w:rsidP="00347B15">
    <w:pPr>
      <w:pStyle w:val="Footer"/>
    </w:pPr>
    <w:r>
      <w:t>Adviser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60F94" w14:textId="77777777" w:rsidR="00001586" w:rsidRDefault="00001586" w:rsidP="002444B6">
      <w:pPr>
        <w:spacing w:before="0" w:after="0" w:line="240" w:lineRule="auto"/>
      </w:pPr>
      <w:r>
        <w:separator/>
      </w:r>
    </w:p>
  </w:footnote>
  <w:footnote w:type="continuationSeparator" w:id="0">
    <w:p w14:paraId="3438D012" w14:textId="77777777" w:rsidR="00001586" w:rsidRDefault="00001586" w:rsidP="00FE0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99B8F" w14:textId="77777777" w:rsidR="00475923" w:rsidRDefault="00475923" w:rsidP="00F41370">
    <w:pPr>
      <w:pStyle w:val="Header"/>
      <w:ind w:hanging="567"/>
    </w:pPr>
    <w:r>
      <w:rPr>
        <w:noProof/>
        <w:lang w:eastAsia="en-AU"/>
      </w:rPr>
      <mc:AlternateContent>
        <mc:Choice Requires="wps">
          <w:drawing>
            <wp:anchor distT="0" distB="0" distL="114300" distR="114300" simplePos="0" relativeHeight="251659264" behindDoc="0" locked="1" layoutInCell="1" allowOverlap="1" wp14:anchorId="54A58A55" wp14:editId="6DB8D377">
              <wp:simplePos x="0" y="0"/>
              <wp:positionH relativeFrom="page">
                <wp:posOffset>539750</wp:posOffset>
              </wp:positionH>
              <wp:positionV relativeFrom="page">
                <wp:posOffset>4658995</wp:posOffset>
              </wp:positionV>
              <wp:extent cx="6825615" cy="1647825"/>
              <wp:effectExtent l="0" t="0" r="13335"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615" cy="164782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A68CA" w14:textId="77777777" w:rsidR="00475923" w:rsidRDefault="00475923" w:rsidP="00FE09BB">
                          <w:pPr>
                            <w:rPr>
                              <w:color w:val="FFFFFF" w:themeColor="background1"/>
                            </w:rPr>
                          </w:pPr>
                          <w:r>
                            <w:rPr>
                              <w:color w:val="FFFFFF" w:themeColor="background1"/>
                            </w:rPr>
                            <w:t>October 2014</w:t>
                          </w:r>
                        </w:p>
                        <w:p w14:paraId="5142CE7F" w14:textId="77777777" w:rsidR="00475923" w:rsidRPr="00F547CA" w:rsidRDefault="00475923" w:rsidP="00FE09BB">
                          <w:pPr>
                            <w:rPr>
                              <w:color w:val="FFFFFF" w:themeColor="background1"/>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58A55" id="_x0000_t202" coordsize="21600,21600" o:spt="202" path="m,l,21600r21600,l21600,xe">
              <v:stroke joinstyle="miter"/>
              <v:path gradientshapeok="t" o:connecttype="rect"/>
            </v:shapetype>
            <v:shape id="Text Box 11" o:spid="_x0000_s1027" type="#_x0000_t202" style="position:absolute;margin-left:42.5pt;margin-top:366.85pt;width:537.45pt;height:129.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" filled="f" fillcolor="yellow" stroked="f">
              <v:textbox inset=",,0">
                <w:txbxContent>
                  <w:p w14:paraId="146A68CA" w14:textId="77777777" w:rsidR="00475923" w:rsidRDefault="00475923" w:rsidP="00FE09BB">
                    <w:pPr>
                      <w:rPr>
                        <w:color w:val="FFFFFF" w:themeColor="background1"/>
                      </w:rPr>
                    </w:pPr>
                    <w:r>
                      <w:rPr>
                        <w:color w:val="FFFFFF" w:themeColor="background1"/>
                      </w:rPr>
                      <w:t>October 2014</w:t>
                    </w:r>
                  </w:p>
                  <w:p w14:paraId="5142CE7F" w14:textId="77777777" w:rsidR="00475923" w:rsidRPr="00F547CA" w:rsidRDefault="00475923" w:rsidP="00FE09BB">
                    <w:pPr>
                      <w:rPr>
                        <w:color w:val="FFFFFF" w:themeColor="background1"/>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474FCD"/>
    <w:multiLevelType w:val="hybridMultilevel"/>
    <w:tmpl w:val="05797D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A531B4"/>
    <w:multiLevelType w:val="hybridMultilevel"/>
    <w:tmpl w:val="58DA10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94CB4"/>
    <w:multiLevelType w:val="hybridMultilevel"/>
    <w:tmpl w:val="B21C8322"/>
    <w:lvl w:ilvl="0" w:tplc="DC00972A">
      <w:start w:val="1"/>
      <w:numFmt w:val="bullet"/>
      <w:lvlText w:val=""/>
      <w:lvlJc w:val="left"/>
      <w:pPr>
        <w:ind w:left="720" w:hanging="360"/>
      </w:pPr>
      <w:rPr>
        <w:rFonts w:ascii="Symbol" w:hAnsi="Symbol" w:hint="default"/>
        <w:color w:val="009ED7"/>
        <w:u w:color="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86B31"/>
    <w:multiLevelType w:val="hybridMultilevel"/>
    <w:tmpl w:val="60DC5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591C9B"/>
    <w:multiLevelType w:val="hybridMultilevel"/>
    <w:tmpl w:val="378C616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6CB4FB1"/>
    <w:multiLevelType w:val="hybridMultilevel"/>
    <w:tmpl w:val="E264B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821049F"/>
    <w:multiLevelType w:val="hybridMultilevel"/>
    <w:tmpl w:val="EBD0179E"/>
    <w:lvl w:ilvl="0" w:tplc="DC00972A">
      <w:start w:val="1"/>
      <w:numFmt w:val="bullet"/>
      <w:lvlText w:val=""/>
      <w:lvlJc w:val="left"/>
      <w:pPr>
        <w:ind w:left="360" w:hanging="360"/>
      </w:pPr>
      <w:rPr>
        <w:rFonts w:ascii="Symbol" w:hAnsi="Symbol" w:hint="default"/>
        <w:color w:val="009ED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85C575C"/>
    <w:multiLevelType w:val="hybridMultilevel"/>
    <w:tmpl w:val="42F8B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1237CA"/>
    <w:multiLevelType w:val="hybridMultilevel"/>
    <w:tmpl w:val="ED660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647DC2"/>
    <w:multiLevelType w:val="hybridMultilevel"/>
    <w:tmpl w:val="D6DEBC8A"/>
    <w:lvl w:ilvl="0" w:tplc="DC00972A">
      <w:start w:val="1"/>
      <w:numFmt w:val="bullet"/>
      <w:lvlText w:val=""/>
      <w:lvlJc w:val="left"/>
      <w:pPr>
        <w:ind w:left="360" w:hanging="360"/>
      </w:pPr>
      <w:rPr>
        <w:rFonts w:ascii="Symbol" w:hAnsi="Symbol" w:hint="default"/>
        <w:color w:val="009ED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E777E9"/>
    <w:multiLevelType w:val="hybridMultilevel"/>
    <w:tmpl w:val="FE6E6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D6174D"/>
    <w:multiLevelType w:val="hybridMultilevel"/>
    <w:tmpl w:val="22BCCDE8"/>
    <w:lvl w:ilvl="0" w:tplc="DC00972A">
      <w:start w:val="1"/>
      <w:numFmt w:val="bullet"/>
      <w:lvlText w:val=""/>
      <w:lvlJc w:val="left"/>
      <w:pPr>
        <w:ind w:left="360" w:hanging="360"/>
      </w:pPr>
      <w:rPr>
        <w:rFonts w:ascii="Symbol" w:hAnsi="Symbol" w:hint="default"/>
        <w:color w:val="009ED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25D3CC2"/>
    <w:multiLevelType w:val="hybridMultilevel"/>
    <w:tmpl w:val="118A4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E49C6"/>
    <w:multiLevelType w:val="hybridMultilevel"/>
    <w:tmpl w:val="DBE80828"/>
    <w:lvl w:ilvl="0" w:tplc="DC00972A">
      <w:start w:val="1"/>
      <w:numFmt w:val="bullet"/>
      <w:lvlText w:val=""/>
      <w:lvlJc w:val="left"/>
      <w:pPr>
        <w:ind w:left="363" w:hanging="360"/>
      </w:pPr>
      <w:rPr>
        <w:rFonts w:ascii="Symbol" w:hAnsi="Symbol" w:hint="default"/>
        <w:color w:val="009ED7"/>
        <w:u w:color="000000"/>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4" w15:restartNumberingAfterBreak="0">
    <w:nsid w:val="1B1F29FD"/>
    <w:multiLevelType w:val="hybridMultilevel"/>
    <w:tmpl w:val="15DE6C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634323"/>
    <w:multiLevelType w:val="hybridMultilevel"/>
    <w:tmpl w:val="044AE6D4"/>
    <w:lvl w:ilvl="0" w:tplc="DC00972A">
      <w:start w:val="1"/>
      <w:numFmt w:val="bullet"/>
      <w:lvlText w:val=""/>
      <w:lvlJc w:val="left"/>
      <w:pPr>
        <w:ind w:left="720" w:hanging="360"/>
      </w:pPr>
      <w:rPr>
        <w:rFonts w:ascii="Symbol" w:hAnsi="Symbol" w:hint="default"/>
        <w:color w:val="009ED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5E38C8"/>
    <w:multiLevelType w:val="hybridMultilevel"/>
    <w:tmpl w:val="231414F2"/>
    <w:lvl w:ilvl="0" w:tplc="1DF0F0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3F46DD"/>
    <w:multiLevelType w:val="hybridMultilevel"/>
    <w:tmpl w:val="B9649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A55397"/>
    <w:multiLevelType w:val="hybridMultilevel"/>
    <w:tmpl w:val="969EB96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7502D1D"/>
    <w:multiLevelType w:val="hybridMultilevel"/>
    <w:tmpl w:val="56929F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92F2D8B"/>
    <w:multiLevelType w:val="hybridMultilevel"/>
    <w:tmpl w:val="EC82BEC6"/>
    <w:lvl w:ilvl="0" w:tplc="DC00972A">
      <w:start w:val="1"/>
      <w:numFmt w:val="bullet"/>
      <w:lvlText w:val=""/>
      <w:lvlJc w:val="left"/>
      <w:pPr>
        <w:ind w:left="720" w:hanging="360"/>
      </w:pPr>
      <w:rPr>
        <w:rFonts w:ascii="Symbol" w:hAnsi="Symbol" w:hint="default"/>
        <w:color w:val="009ED7"/>
        <w:u w:color="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AB7BE9"/>
    <w:multiLevelType w:val="hybridMultilevel"/>
    <w:tmpl w:val="FCA4BF74"/>
    <w:lvl w:ilvl="0" w:tplc="DC00972A">
      <w:start w:val="1"/>
      <w:numFmt w:val="bullet"/>
      <w:lvlText w:val=""/>
      <w:lvlJc w:val="left"/>
      <w:pPr>
        <w:ind w:left="720" w:hanging="360"/>
      </w:pPr>
      <w:rPr>
        <w:rFonts w:ascii="Symbol" w:hAnsi="Symbol" w:hint="default"/>
        <w:color w:val="009ED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D47491"/>
    <w:multiLevelType w:val="hybridMultilevel"/>
    <w:tmpl w:val="88080F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2CA212B"/>
    <w:multiLevelType w:val="hybridMultilevel"/>
    <w:tmpl w:val="4E3CC312"/>
    <w:lvl w:ilvl="0" w:tplc="DC00972A">
      <w:start w:val="1"/>
      <w:numFmt w:val="bullet"/>
      <w:lvlText w:val=""/>
      <w:lvlJc w:val="left"/>
      <w:pPr>
        <w:ind w:left="360" w:hanging="360"/>
      </w:pPr>
      <w:rPr>
        <w:rFonts w:ascii="Symbol" w:hAnsi="Symbol" w:hint="default"/>
        <w:color w:val="009ED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5717975"/>
    <w:multiLevelType w:val="hybridMultilevel"/>
    <w:tmpl w:val="16AAC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5CD27FC"/>
    <w:multiLevelType w:val="hybridMultilevel"/>
    <w:tmpl w:val="D3FE3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1B62AF"/>
    <w:multiLevelType w:val="hybridMultilevel"/>
    <w:tmpl w:val="1A0EDEF6"/>
    <w:lvl w:ilvl="0" w:tplc="DC00972A">
      <w:start w:val="1"/>
      <w:numFmt w:val="bullet"/>
      <w:lvlText w:val=""/>
      <w:lvlJc w:val="left"/>
      <w:pPr>
        <w:ind w:left="720" w:hanging="360"/>
      </w:pPr>
      <w:rPr>
        <w:rFonts w:ascii="Symbol" w:hAnsi="Symbol" w:hint="default"/>
        <w:color w:val="009ED7"/>
        <w:u w:color="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A859E3"/>
    <w:multiLevelType w:val="hybridMultilevel"/>
    <w:tmpl w:val="46E29F06"/>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444E2787"/>
    <w:multiLevelType w:val="hybridMultilevel"/>
    <w:tmpl w:val="62A0E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E41867"/>
    <w:multiLevelType w:val="hybridMultilevel"/>
    <w:tmpl w:val="BCD6EE34"/>
    <w:lvl w:ilvl="0" w:tplc="DC00972A">
      <w:start w:val="1"/>
      <w:numFmt w:val="bullet"/>
      <w:lvlText w:val=""/>
      <w:lvlJc w:val="left"/>
      <w:pPr>
        <w:ind w:left="360" w:hanging="360"/>
      </w:pPr>
      <w:rPr>
        <w:rFonts w:ascii="Symbol" w:hAnsi="Symbol" w:hint="default"/>
        <w:color w:val="009ED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5F875D2"/>
    <w:multiLevelType w:val="hybridMultilevel"/>
    <w:tmpl w:val="4F644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DE6273"/>
    <w:multiLevelType w:val="hybridMultilevel"/>
    <w:tmpl w:val="5AB42D08"/>
    <w:lvl w:ilvl="0" w:tplc="DC00972A">
      <w:start w:val="1"/>
      <w:numFmt w:val="bullet"/>
      <w:lvlText w:val=""/>
      <w:lvlJc w:val="left"/>
      <w:pPr>
        <w:ind w:left="360" w:hanging="360"/>
      </w:pPr>
      <w:rPr>
        <w:rFonts w:ascii="Symbol" w:hAnsi="Symbol" w:hint="default"/>
        <w:color w:val="009ED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A4A3F21"/>
    <w:multiLevelType w:val="hybridMultilevel"/>
    <w:tmpl w:val="1472AC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B413978"/>
    <w:multiLevelType w:val="hybridMultilevel"/>
    <w:tmpl w:val="C55040F8"/>
    <w:lvl w:ilvl="0" w:tplc="DC00972A">
      <w:start w:val="1"/>
      <w:numFmt w:val="bullet"/>
      <w:lvlText w:val=""/>
      <w:lvlJc w:val="left"/>
      <w:pPr>
        <w:ind w:left="360" w:hanging="360"/>
      </w:pPr>
      <w:rPr>
        <w:rFonts w:ascii="Symbol" w:hAnsi="Symbol" w:hint="default"/>
        <w:color w:val="009ED7"/>
        <w:u w:color="00000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BEA1015"/>
    <w:multiLevelType w:val="hybridMultilevel"/>
    <w:tmpl w:val="329E1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920481"/>
    <w:multiLevelType w:val="hybridMultilevel"/>
    <w:tmpl w:val="094AAE10"/>
    <w:lvl w:ilvl="0" w:tplc="E5A8D99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07C6790"/>
    <w:multiLevelType w:val="hybridMultilevel"/>
    <w:tmpl w:val="41BAF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1B720E6"/>
    <w:multiLevelType w:val="hybridMultilevel"/>
    <w:tmpl w:val="93DE2B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92E7FC1"/>
    <w:multiLevelType w:val="hybridMultilevel"/>
    <w:tmpl w:val="C554B52C"/>
    <w:lvl w:ilvl="0" w:tplc="DC00972A">
      <w:start w:val="1"/>
      <w:numFmt w:val="bullet"/>
      <w:lvlText w:val=""/>
      <w:lvlJc w:val="left"/>
      <w:pPr>
        <w:ind w:left="360" w:hanging="360"/>
      </w:pPr>
      <w:rPr>
        <w:rFonts w:ascii="Symbol" w:hAnsi="Symbol" w:hint="default"/>
        <w:color w:val="009ED7"/>
        <w:u w:color="0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A2347BF"/>
    <w:multiLevelType w:val="hybridMultilevel"/>
    <w:tmpl w:val="346A2E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466797"/>
    <w:multiLevelType w:val="hybridMultilevel"/>
    <w:tmpl w:val="D94858B6"/>
    <w:lvl w:ilvl="0" w:tplc="DC00972A">
      <w:start w:val="1"/>
      <w:numFmt w:val="bullet"/>
      <w:lvlText w:val=""/>
      <w:lvlJc w:val="left"/>
      <w:pPr>
        <w:ind w:left="360" w:hanging="360"/>
      </w:pPr>
      <w:rPr>
        <w:rFonts w:ascii="Symbol" w:hAnsi="Symbol" w:hint="default"/>
        <w:color w:val="009ED7"/>
        <w:u w:color="0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B4834"/>
    <w:multiLevelType w:val="hybridMultilevel"/>
    <w:tmpl w:val="6624E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6452E6"/>
    <w:multiLevelType w:val="hybridMultilevel"/>
    <w:tmpl w:val="F89E4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F26DE3"/>
    <w:multiLevelType w:val="hybridMultilevel"/>
    <w:tmpl w:val="167042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9397A5C"/>
    <w:multiLevelType w:val="hybridMultilevel"/>
    <w:tmpl w:val="C5CC9D1C"/>
    <w:lvl w:ilvl="0" w:tplc="DC00972A">
      <w:start w:val="1"/>
      <w:numFmt w:val="bullet"/>
      <w:lvlText w:val=""/>
      <w:lvlJc w:val="left"/>
      <w:pPr>
        <w:ind w:left="360" w:hanging="360"/>
      </w:pPr>
      <w:rPr>
        <w:rFonts w:ascii="Symbol" w:hAnsi="Symbol" w:hint="default"/>
        <w:color w:val="009ED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27D0671"/>
    <w:multiLevelType w:val="hybridMultilevel"/>
    <w:tmpl w:val="4A807E2E"/>
    <w:lvl w:ilvl="0" w:tplc="DC00972A">
      <w:start w:val="1"/>
      <w:numFmt w:val="bullet"/>
      <w:lvlText w:val=""/>
      <w:lvlJc w:val="left"/>
      <w:pPr>
        <w:ind w:left="1434" w:hanging="360"/>
      </w:pPr>
      <w:rPr>
        <w:rFonts w:ascii="Symbol" w:hAnsi="Symbol" w:hint="default"/>
        <w:color w:val="009ED7"/>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6" w15:restartNumberingAfterBreak="0">
    <w:nsid w:val="72D10ED4"/>
    <w:multiLevelType w:val="hybridMultilevel"/>
    <w:tmpl w:val="F82E97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32641EF"/>
    <w:multiLevelType w:val="hybridMultilevel"/>
    <w:tmpl w:val="78B05AA4"/>
    <w:lvl w:ilvl="0" w:tplc="DC00972A">
      <w:start w:val="1"/>
      <w:numFmt w:val="bullet"/>
      <w:lvlText w:val=""/>
      <w:lvlJc w:val="left"/>
      <w:pPr>
        <w:ind w:left="720" w:hanging="360"/>
      </w:pPr>
      <w:rPr>
        <w:rFonts w:ascii="Symbol" w:hAnsi="Symbol" w:hint="default"/>
        <w:color w:val="009ED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3A432A0"/>
    <w:multiLevelType w:val="hybridMultilevel"/>
    <w:tmpl w:val="E94A41D0"/>
    <w:lvl w:ilvl="0" w:tplc="DC00972A">
      <w:start w:val="1"/>
      <w:numFmt w:val="bullet"/>
      <w:lvlText w:val=""/>
      <w:lvlJc w:val="left"/>
      <w:pPr>
        <w:ind w:left="360" w:hanging="360"/>
      </w:pPr>
      <w:rPr>
        <w:rFonts w:ascii="Symbol" w:hAnsi="Symbol" w:hint="default"/>
        <w:color w:val="009ED7"/>
        <w:u w:color="0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45E1440"/>
    <w:multiLevelType w:val="hybridMultilevel"/>
    <w:tmpl w:val="227C7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7610970"/>
    <w:multiLevelType w:val="hybridMultilevel"/>
    <w:tmpl w:val="5DEEFD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8D31864"/>
    <w:multiLevelType w:val="hybridMultilevel"/>
    <w:tmpl w:val="B8645B04"/>
    <w:lvl w:ilvl="0" w:tplc="1DF0F09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9A339D7"/>
    <w:multiLevelType w:val="hybridMultilevel"/>
    <w:tmpl w:val="7CECD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A527525"/>
    <w:multiLevelType w:val="hybridMultilevel"/>
    <w:tmpl w:val="5360DA82"/>
    <w:lvl w:ilvl="0" w:tplc="5A6C5F5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EAB4AFB"/>
    <w:multiLevelType w:val="hybridMultilevel"/>
    <w:tmpl w:val="1BEEF60C"/>
    <w:lvl w:ilvl="0" w:tplc="ABEAC4E6">
      <w:start w:val="1"/>
      <w:numFmt w:val="bullet"/>
      <w:lvlText w:val=""/>
      <w:lvlJc w:val="left"/>
      <w:pPr>
        <w:ind w:left="360" w:hanging="360"/>
      </w:pPr>
      <w:rPr>
        <w:rFonts w:ascii="Symbol" w:hAnsi="Symbol" w:hint="default"/>
        <w:color w:val="009ED7"/>
        <w:u w:color="0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5"/>
  </w:num>
  <w:num w:numId="2">
    <w:abstractNumId w:val="37"/>
  </w:num>
  <w:num w:numId="3">
    <w:abstractNumId w:val="54"/>
  </w:num>
  <w:num w:numId="4">
    <w:abstractNumId w:val="33"/>
  </w:num>
  <w:num w:numId="5">
    <w:abstractNumId w:val="26"/>
  </w:num>
  <w:num w:numId="6">
    <w:abstractNumId w:val="13"/>
  </w:num>
  <w:num w:numId="7">
    <w:abstractNumId w:val="48"/>
  </w:num>
  <w:num w:numId="8">
    <w:abstractNumId w:val="42"/>
  </w:num>
  <w:num w:numId="9">
    <w:abstractNumId w:val="20"/>
  </w:num>
  <w:num w:numId="10">
    <w:abstractNumId w:val="2"/>
  </w:num>
  <w:num w:numId="11">
    <w:abstractNumId w:val="40"/>
  </w:num>
  <w:num w:numId="12">
    <w:abstractNumId w:val="38"/>
  </w:num>
  <w:num w:numId="13">
    <w:abstractNumId w:val="21"/>
  </w:num>
  <w:num w:numId="14">
    <w:abstractNumId w:val="47"/>
  </w:num>
  <w:num w:numId="15">
    <w:abstractNumId w:val="23"/>
  </w:num>
  <w:num w:numId="16">
    <w:abstractNumId w:val="29"/>
  </w:num>
  <w:num w:numId="17">
    <w:abstractNumId w:val="15"/>
  </w:num>
  <w:num w:numId="18">
    <w:abstractNumId w:val="45"/>
  </w:num>
  <w:num w:numId="19">
    <w:abstractNumId w:val="9"/>
  </w:num>
  <w:num w:numId="20">
    <w:abstractNumId w:val="31"/>
  </w:num>
  <w:num w:numId="21">
    <w:abstractNumId w:val="44"/>
  </w:num>
  <w:num w:numId="22">
    <w:abstractNumId w:val="6"/>
  </w:num>
  <w:num w:numId="23">
    <w:abstractNumId w:val="11"/>
  </w:num>
  <w:num w:numId="24">
    <w:abstractNumId w:val="5"/>
  </w:num>
  <w:num w:numId="25">
    <w:abstractNumId w:val="50"/>
  </w:num>
  <w:num w:numId="26">
    <w:abstractNumId w:val="24"/>
  </w:num>
  <w:num w:numId="27">
    <w:abstractNumId w:val="46"/>
  </w:num>
  <w:num w:numId="28">
    <w:abstractNumId w:val="43"/>
  </w:num>
  <w:num w:numId="29">
    <w:abstractNumId w:val="32"/>
  </w:num>
  <w:num w:numId="30">
    <w:abstractNumId w:val="52"/>
  </w:num>
  <w:num w:numId="31">
    <w:abstractNumId w:val="0"/>
  </w:num>
  <w:num w:numId="32">
    <w:abstractNumId w:val="19"/>
  </w:num>
  <w:num w:numId="33">
    <w:abstractNumId w:val="1"/>
  </w:num>
  <w:num w:numId="34">
    <w:abstractNumId w:val="17"/>
  </w:num>
  <w:num w:numId="35">
    <w:abstractNumId w:val="3"/>
  </w:num>
  <w:num w:numId="36">
    <w:abstractNumId w:val="8"/>
  </w:num>
  <w:num w:numId="37">
    <w:abstractNumId w:val="25"/>
  </w:num>
  <w:num w:numId="38">
    <w:abstractNumId w:val="49"/>
  </w:num>
  <w:num w:numId="39">
    <w:abstractNumId w:val="30"/>
  </w:num>
  <w:num w:numId="40">
    <w:abstractNumId w:val="27"/>
  </w:num>
  <w:num w:numId="41">
    <w:abstractNumId w:val="7"/>
  </w:num>
  <w:num w:numId="42">
    <w:abstractNumId w:val="36"/>
  </w:num>
  <w:num w:numId="43">
    <w:abstractNumId w:val="53"/>
  </w:num>
  <w:num w:numId="44">
    <w:abstractNumId w:val="39"/>
  </w:num>
  <w:num w:numId="45">
    <w:abstractNumId w:val="51"/>
  </w:num>
  <w:num w:numId="46">
    <w:abstractNumId w:val="18"/>
  </w:num>
  <w:num w:numId="47">
    <w:abstractNumId w:val="16"/>
  </w:num>
  <w:num w:numId="48">
    <w:abstractNumId w:val="22"/>
  </w:num>
  <w:num w:numId="49">
    <w:abstractNumId w:val="12"/>
  </w:num>
  <w:num w:numId="50">
    <w:abstractNumId w:val="10"/>
  </w:num>
  <w:num w:numId="51">
    <w:abstractNumId w:val="4"/>
  </w:num>
  <w:num w:numId="52">
    <w:abstractNumId w:val="14"/>
  </w:num>
  <w:num w:numId="53">
    <w:abstractNumId w:val="41"/>
  </w:num>
  <w:num w:numId="54">
    <w:abstractNumId w:val="34"/>
  </w:num>
  <w:num w:numId="55">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2DB"/>
    <w:rsid w:val="000003A1"/>
    <w:rsid w:val="00001586"/>
    <w:rsid w:val="000043C0"/>
    <w:rsid w:val="0000476C"/>
    <w:rsid w:val="00006D4B"/>
    <w:rsid w:val="0000779F"/>
    <w:rsid w:val="00010AAF"/>
    <w:rsid w:val="00011FE1"/>
    <w:rsid w:val="00013416"/>
    <w:rsid w:val="00014802"/>
    <w:rsid w:val="00021BF2"/>
    <w:rsid w:val="00023E8E"/>
    <w:rsid w:val="00026F73"/>
    <w:rsid w:val="00033266"/>
    <w:rsid w:val="00034579"/>
    <w:rsid w:val="00034D53"/>
    <w:rsid w:val="0004564B"/>
    <w:rsid w:val="000546C3"/>
    <w:rsid w:val="00055DAA"/>
    <w:rsid w:val="00055E62"/>
    <w:rsid w:val="00056F1E"/>
    <w:rsid w:val="000615E9"/>
    <w:rsid w:val="00063656"/>
    <w:rsid w:val="000675E9"/>
    <w:rsid w:val="0007008D"/>
    <w:rsid w:val="0007381F"/>
    <w:rsid w:val="00080473"/>
    <w:rsid w:val="000806B8"/>
    <w:rsid w:val="0008116B"/>
    <w:rsid w:val="000850D6"/>
    <w:rsid w:val="00087863"/>
    <w:rsid w:val="00090757"/>
    <w:rsid w:val="0009189B"/>
    <w:rsid w:val="0009209A"/>
    <w:rsid w:val="00093FC3"/>
    <w:rsid w:val="000943C5"/>
    <w:rsid w:val="000A0877"/>
    <w:rsid w:val="000A224E"/>
    <w:rsid w:val="000B056A"/>
    <w:rsid w:val="000B1ED7"/>
    <w:rsid w:val="000B719B"/>
    <w:rsid w:val="000B7753"/>
    <w:rsid w:val="000C0D1B"/>
    <w:rsid w:val="000C3D34"/>
    <w:rsid w:val="000D0FA1"/>
    <w:rsid w:val="000D218F"/>
    <w:rsid w:val="000D44CC"/>
    <w:rsid w:val="000E5328"/>
    <w:rsid w:val="000E731D"/>
    <w:rsid w:val="000F3457"/>
    <w:rsid w:val="000F3918"/>
    <w:rsid w:val="000F7977"/>
    <w:rsid w:val="001017BF"/>
    <w:rsid w:val="0010247D"/>
    <w:rsid w:val="001067AE"/>
    <w:rsid w:val="0011079E"/>
    <w:rsid w:val="00111A30"/>
    <w:rsid w:val="00112AE2"/>
    <w:rsid w:val="001140C2"/>
    <w:rsid w:val="00114701"/>
    <w:rsid w:val="0012386C"/>
    <w:rsid w:val="00124D1B"/>
    <w:rsid w:val="001251D2"/>
    <w:rsid w:val="00126756"/>
    <w:rsid w:val="00130C52"/>
    <w:rsid w:val="00135865"/>
    <w:rsid w:val="00137685"/>
    <w:rsid w:val="00141B53"/>
    <w:rsid w:val="0014337A"/>
    <w:rsid w:val="00144627"/>
    <w:rsid w:val="00144E16"/>
    <w:rsid w:val="00150F45"/>
    <w:rsid w:val="001536AE"/>
    <w:rsid w:val="00154AD5"/>
    <w:rsid w:val="001553D0"/>
    <w:rsid w:val="00155774"/>
    <w:rsid w:val="001600B2"/>
    <w:rsid w:val="001670C5"/>
    <w:rsid w:val="00170E36"/>
    <w:rsid w:val="0017105D"/>
    <w:rsid w:val="00174B64"/>
    <w:rsid w:val="00175639"/>
    <w:rsid w:val="00175845"/>
    <w:rsid w:val="00177157"/>
    <w:rsid w:val="00180536"/>
    <w:rsid w:val="00182856"/>
    <w:rsid w:val="00186BBE"/>
    <w:rsid w:val="00190791"/>
    <w:rsid w:val="00192CA6"/>
    <w:rsid w:val="001A1110"/>
    <w:rsid w:val="001A7A97"/>
    <w:rsid w:val="001B07B6"/>
    <w:rsid w:val="001B157D"/>
    <w:rsid w:val="001B2C21"/>
    <w:rsid w:val="001B5869"/>
    <w:rsid w:val="001B6CB5"/>
    <w:rsid w:val="001C0DCB"/>
    <w:rsid w:val="001C2001"/>
    <w:rsid w:val="001C23EA"/>
    <w:rsid w:val="001C4674"/>
    <w:rsid w:val="001C6473"/>
    <w:rsid w:val="001D1397"/>
    <w:rsid w:val="001D1A39"/>
    <w:rsid w:val="001E2825"/>
    <w:rsid w:val="001E3E6E"/>
    <w:rsid w:val="001E4CAE"/>
    <w:rsid w:val="001F26EA"/>
    <w:rsid w:val="001F4560"/>
    <w:rsid w:val="001F47F8"/>
    <w:rsid w:val="0020079B"/>
    <w:rsid w:val="002020F4"/>
    <w:rsid w:val="002028E9"/>
    <w:rsid w:val="0020315D"/>
    <w:rsid w:val="00204A09"/>
    <w:rsid w:val="00205F69"/>
    <w:rsid w:val="002073C8"/>
    <w:rsid w:val="00211478"/>
    <w:rsid w:val="00211EC0"/>
    <w:rsid w:val="00213ED5"/>
    <w:rsid w:val="0021422C"/>
    <w:rsid w:val="002142A6"/>
    <w:rsid w:val="002168A2"/>
    <w:rsid w:val="00220400"/>
    <w:rsid w:val="00220FB7"/>
    <w:rsid w:val="00221038"/>
    <w:rsid w:val="0022761F"/>
    <w:rsid w:val="0023155E"/>
    <w:rsid w:val="002319E9"/>
    <w:rsid w:val="00232FEE"/>
    <w:rsid w:val="0023409C"/>
    <w:rsid w:val="002344C7"/>
    <w:rsid w:val="00234587"/>
    <w:rsid w:val="002363D0"/>
    <w:rsid w:val="00236665"/>
    <w:rsid w:val="00237B26"/>
    <w:rsid w:val="002431A0"/>
    <w:rsid w:val="002444B6"/>
    <w:rsid w:val="00245981"/>
    <w:rsid w:val="00250463"/>
    <w:rsid w:val="00255531"/>
    <w:rsid w:val="00257720"/>
    <w:rsid w:val="00264C91"/>
    <w:rsid w:val="00265E88"/>
    <w:rsid w:val="00266077"/>
    <w:rsid w:val="0026629A"/>
    <w:rsid w:val="00267237"/>
    <w:rsid w:val="00270CE9"/>
    <w:rsid w:val="00271883"/>
    <w:rsid w:val="0027505A"/>
    <w:rsid w:val="0027625C"/>
    <w:rsid w:val="00284A37"/>
    <w:rsid w:val="002857C5"/>
    <w:rsid w:val="0028657D"/>
    <w:rsid w:val="00287CD8"/>
    <w:rsid w:val="00292EF3"/>
    <w:rsid w:val="002933A2"/>
    <w:rsid w:val="002B5D86"/>
    <w:rsid w:val="002C066F"/>
    <w:rsid w:val="002C4C74"/>
    <w:rsid w:val="002C515B"/>
    <w:rsid w:val="002C6906"/>
    <w:rsid w:val="002D5CFC"/>
    <w:rsid w:val="002E1535"/>
    <w:rsid w:val="002E36B7"/>
    <w:rsid w:val="002E420C"/>
    <w:rsid w:val="002E787D"/>
    <w:rsid w:val="002F04C9"/>
    <w:rsid w:val="002F100E"/>
    <w:rsid w:val="002F6C6D"/>
    <w:rsid w:val="0030009A"/>
    <w:rsid w:val="003025F0"/>
    <w:rsid w:val="00302FE9"/>
    <w:rsid w:val="003035E6"/>
    <w:rsid w:val="00304F36"/>
    <w:rsid w:val="003059E8"/>
    <w:rsid w:val="00305F7A"/>
    <w:rsid w:val="00307AA6"/>
    <w:rsid w:val="00312F9F"/>
    <w:rsid w:val="003130AE"/>
    <w:rsid w:val="00314FA1"/>
    <w:rsid w:val="003162E4"/>
    <w:rsid w:val="0032212A"/>
    <w:rsid w:val="00322E83"/>
    <w:rsid w:val="00326422"/>
    <w:rsid w:val="00333E85"/>
    <w:rsid w:val="003355A4"/>
    <w:rsid w:val="00336165"/>
    <w:rsid w:val="00341DB9"/>
    <w:rsid w:val="00344A06"/>
    <w:rsid w:val="003455D4"/>
    <w:rsid w:val="00347B15"/>
    <w:rsid w:val="003608D9"/>
    <w:rsid w:val="00361A97"/>
    <w:rsid w:val="00364C60"/>
    <w:rsid w:val="00364D77"/>
    <w:rsid w:val="0036552C"/>
    <w:rsid w:val="00366B9A"/>
    <w:rsid w:val="00382103"/>
    <w:rsid w:val="003859F1"/>
    <w:rsid w:val="0038634C"/>
    <w:rsid w:val="00394D04"/>
    <w:rsid w:val="003A1442"/>
    <w:rsid w:val="003A1E90"/>
    <w:rsid w:val="003A5C39"/>
    <w:rsid w:val="003A721E"/>
    <w:rsid w:val="003B349C"/>
    <w:rsid w:val="003B4540"/>
    <w:rsid w:val="003B7B06"/>
    <w:rsid w:val="003C1819"/>
    <w:rsid w:val="003C46F1"/>
    <w:rsid w:val="003D4918"/>
    <w:rsid w:val="003D4CE2"/>
    <w:rsid w:val="003E273A"/>
    <w:rsid w:val="003E37D7"/>
    <w:rsid w:val="003E3894"/>
    <w:rsid w:val="003E46E6"/>
    <w:rsid w:val="003E7611"/>
    <w:rsid w:val="003E7E34"/>
    <w:rsid w:val="003F27E8"/>
    <w:rsid w:val="003F37ED"/>
    <w:rsid w:val="003F38DA"/>
    <w:rsid w:val="003F6CFC"/>
    <w:rsid w:val="00400A59"/>
    <w:rsid w:val="00403353"/>
    <w:rsid w:val="00411885"/>
    <w:rsid w:val="00420F32"/>
    <w:rsid w:val="00421D38"/>
    <w:rsid w:val="004226C3"/>
    <w:rsid w:val="00422BD8"/>
    <w:rsid w:val="00423430"/>
    <w:rsid w:val="00423ABE"/>
    <w:rsid w:val="004304AA"/>
    <w:rsid w:val="0043183F"/>
    <w:rsid w:val="0043323C"/>
    <w:rsid w:val="00435F22"/>
    <w:rsid w:val="004411E7"/>
    <w:rsid w:val="0044377A"/>
    <w:rsid w:val="00446B18"/>
    <w:rsid w:val="00453AAC"/>
    <w:rsid w:val="00453E4D"/>
    <w:rsid w:val="004549CA"/>
    <w:rsid w:val="00462F10"/>
    <w:rsid w:val="00462F67"/>
    <w:rsid w:val="004710E7"/>
    <w:rsid w:val="00473E33"/>
    <w:rsid w:val="00475923"/>
    <w:rsid w:val="004864E7"/>
    <w:rsid w:val="004866AC"/>
    <w:rsid w:val="004867BE"/>
    <w:rsid w:val="00486E45"/>
    <w:rsid w:val="004922BA"/>
    <w:rsid w:val="00494807"/>
    <w:rsid w:val="00496E88"/>
    <w:rsid w:val="004A0D5B"/>
    <w:rsid w:val="004A3253"/>
    <w:rsid w:val="004C2F98"/>
    <w:rsid w:val="004C7051"/>
    <w:rsid w:val="004D0110"/>
    <w:rsid w:val="004D32CC"/>
    <w:rsid w:val="004D36F4"/>
    <w:rsid w:val="004E00A8"/>
    <w:rsid w:val="004E0AAC"/>
    <w:rsid w:val="004E27E5"/>
    <w:rsid w:val="004E2C07"/>
    <w:rsid w:val="004E5CBC"/>
    <w:rsid w:val="004E62FD"/>
    <w:rsid w:val="004F05BC"/>
    <w:rsid w:val="004F3712"/>
    <w:rsid w:val="004F6CBA"/>
    <w:rsid w:val="004F7048"/>
    <w:rsid w:val="005002AF"/>
    <w:rsid w:val="00500BC5"/>
    <w:rsid w:val="00500C81"/>
    <w:rsid w:val="0050164D"/>
    <w:rsid w:val="005102AC"/>
    <w:rsid w:val="005165D8"/>
    <w:rsid w:val="005230C5"/>
    <w:rsid w:val="005269EC"/>
    <w:rsid w:val="00526A92"/>
    <w:rsid w:val="00526B17"/>
    <w:rsid w:val="00526C9D"/>
    <w:rsid w:val="00531C92"/>
    <w:rsid w:val="00536ED9"/>
    <w:rsid w:val="005433D5"/>
    <w:rsid w:val="00543FF3"/>
    <w:rsid w:val="00546B9F"/>
    <w:rsid w:val="0055547C"/>
    <w:rsid w:val="0055755C"/>
    <w:rsid w:val="00560F74"/>
    <w:rsid w:val="00570123"/>
    <w:rsid w:val="00571602"/>
    <w:rsid w:val="0057274D"/>
    <w:rsid w:val="00572B1E"/>
    <w:rsid w:val="00584990"/>
    <w:rsid w:val="00590278"/>
    <w:rsid w:val="0059104F"/>
    <w:rsid w:val="005934B1"/>
    <w:rsid w:val="005964A7"/>
    <w:rsid w:val="005A5415"/>
    <w:rsid w:val="005A6ED8"/>
    <w:rsid w:val="005B5A14"/>
    <w:rsid w:val="005D5F8C"/>
    <w:rsid w:val="005D7F60"/>
    <w:rsid w:val="005E3106"/>
    <w:rsid w:val="005E552C"/>
    <w:rsid w:val="005E75DD"/>
    <w:rsid w:val="005F0345"/>
    <w:rsid w:val="005F3BDC"/>
    <w:rsid w:val="005F6EB1"/>
    <w:rsid w:val="006009E0"/>
    <w:rsid w:val="00603C00"/>
    <w:rsid w:val="006107F1"/>
    <w:rsid w:val="00613CB9"/>
    <w:rsid w:val="00615036"/>
    <w:rsid w:val="006156AF"/>
    <w:rsid w:val="006246E1"/>
    <w:rsid w:val="00632270"/>
    <w:rsid w:val="00632278"/>
    <w:rsid w:val="006335C3"/>
    <w:rsid w:val="00634DAD"/>
    <w:rsid w:val="00636DD3"/>
    <w:rsid w:val="006374D8"/>
    <w:rsid w:val="00640521"/>
    <w:rsid w:val="00654619"/>
    <w:rsid w:val="006548F5"/>
    <w:rsid w:val="00657194"/>
    <w:rsid w:val="0065744C"/>
    <w:rsid w:val="00660BAC"/>
    <w:rsid w:val="00661533"/>
    <w:rsid w:val="00661C72"/>
    <w:rsid w:val="00665069"/>
    <w:rsid w:val="006706B8"/>
    <w:rsid w:val="00671D5E"/>
    <w:rsid w:val="00672227"/>
    <w:rsid w:val="0067588C"/>
    <w:rsid w:val="00677E64"/>
    <w:rsid w:val="006805C2"/>
    <w:rsid w:val="00682ACD"/>
    <w:rsid w:val="00686F89"/>
    <w:rsid w:val="00687ACC"/>
    <w:rsid w:val="00691C58"/>
    <w:rsid w:val="00694103"/>
    <w:rsid w:val="00696A3A"/>
    <w:rsid w:val="006975B8"/>
    <w:rsid w:val="006A4A07"/>
    <w:rsid w:val="006B34B7"/>
    <w:rsid w:val="006B3973"/>
    <w:rsid w:val="006C0D6A"/>
    <w:rsid w:val="006C1F3F"/>
    <w:rsid w:val="006C6496"/>
    <w:rsid w:val="006D3598"/>
    <w:rsid w:val="006D4A60"/>
    <w:rsid w:val="006D6542"/>
    <w:rsid w:val="006E0135"/>
    <w:rsid w:val="006E0381"/>
    <w:rsid w:val="006E068B"/>
    <w:rsid w:val="006E0F32"/>
    <w:rsid w:val="006E36E5"/>
    <w:rsid w:val="006E4226"/>
    <w:rsid w:val="006E4903"/>
    <w:rsid w:val="006E58A1"/>
    <w:rsid w:val="006E60F2"/>
    <w:rsid w:val="006E6F1C"/>
    <w:rsid w:val="006F2084"/>
    <w:rsid w:val="006F7A6F"/>
    <w:rsid w:val="006F7F12"/>
    <w:rsid w:val="00702643"/>
    <w:rsid w:val="007038FD"/>
    <w:rsid w:val="00706504"/>
    <w:rsid w:val="007070EB"/>
    <w:rsid w:val="00714278"/>
    <w:rsid w:val="00716595"/>
    <w:rsid w:val="00721681"/>
    <w:rsid w:val="00721778"/>
    <w:rsid w:val="0072195D"/>
    <w:rsid w:val="00722A9F"/>
    <w:rsid w:val="007236C6"/>
    <w:rsid w:val="00723E58"/>
    <w:rsid w:val="0073164F"/>
    <w:rsid w:val="00737687"/>
    <w:rsid w:val="007431AA"/>
    <w:rsid w:val="007434E8"/>
    <w:rsid w:val="00745E41"/>
    <w:rsid w:val="00746DFF"/>
    <w:rsid w:val="0075037B"/>
    <w:rsid w:val="007550CD"/>
    <w:rsid w:val="0076158A"/>
    <w:rsid w:val="00761AB7"/>
    <w:rsid w:val="00762A2F"/>
    <w:rsid w:val="0076313B"/>
    <w:rsid w:val="007718CD"/>
    <w:rsid w:val="007759DC"/>
    <w:rsid w:val="00775A58"/>
    <w:rsid w:val="00775BD0"/>
    <w:rsid w:val="0077637F"/>
    <w:rsid w:val="00777712"/>
    <w:rsid w:val="00781C27"/>
    <w:rsid w:val="007832CB"/>
    <w:rsid w:val="0078383A"/>
    <w:rsid w:val="00783D34"/>
    <w:rsid w:val="00785243"/>
    <w:rsid w:val="007855AD"/>
    <w:rsid w:val="00790E71"/>
    <w:rsid w:val="0079214A"/>
    <w:rsid w:val="007924A8"/>
    <w:rsid w:val="00792F50"/>
    <w:rsid w:val="00792FDC"/>
    <w:rsid w:val="00793785"/>
    <w:rsid w:val="007A008D"/>
    <w:rsid w:val="007A2AE9"/>
    <w:rsid w:val="007A32D4"/>
    <w:rsid w:val="007A3A07"/>
    <w:rsid w:val="007A4E32"/>
    <w:rsid w:val="007A5FE8"/>
    <w:rsid w:val="007B4DEF"/>
    <w:rsid w:val="007B63C6"/>
    <w:rsid w:val="007C4C41"/>
    <w:rsid w:val="007D615D"/>
    <w:rsid w:val="007D6B21"/>
    <w:rsid w:val="007F121E"/>
    <w:rsid w:val="007F7C35"/>
    <w:rsid w:val="008014F4"/>
    <w:rsid w:val="00803B02"/>
    <w:rsid w:val="008065D2"/>
    <w:rsid w:val="00811A0E"/>
    <w:rsid w:val="00813314"/>
    <w:rsid w:val="008168E8"/>
    <w:rsid w:val="0082378B"/>
    <w:rsid w:val="0082438A"/>
    <w:rsid w:val="0083062B"/>
    <w:rsid w:val="0083154E"/>
    <w:rsid w:val="00832DC5"/>
    <w:rsid w:val="00844E24"/>
    <w:rsid w:val="00846174"/>
    <w:rsid w:val="008528DD"/>
    <w:rsid w:val="00854E1D"/>
    <w:rsid w:val="00857AC3"/>
    <w:rsid w:val="00862B44"/>
    <w:rsid w:val="00863866"/>
    <w:rsid w:val="008647BD"/>
    <w:rsid w:val="00864A56"/>
    <w:rsid w:val="008711BE"/>
    <w:rsid w:val="0087336B"/>
    <w:rsid w:val="008779A9"/>
    <w:rsid w:val="00884DE5"/>
    <w:rsid w:val="008860F6"/>
    <w:rsid w:val="00886EA7"/>
    <w:rsid w:val="00893F6E"/>
    <w:rsid w:val="00895D41"/>
    <w:rsid w:val="00896192"/>
    <w:rsid w:val="00897341"/>
    <w:rsid w:val="008A0507"/>
    <w:rsid w:val="008A4420"/>
    <w:rsid w:val="008A4BD9"/>
    <w:rsid w:val="008A533B"/>
    <w:rsid w:val="008C13D1"/>
    <w:rsid w:val="008C1F3F"/>
    <w:rsid w:val="008C27AE"/>
    <w:rsid w:val="008C3741"/>
    <w:rsid w:val="008C556E"/>
    <w:rsid w:val="008C6092"/>
    <w:rsid w:val="008C7B94"/>
    <w:rsid w:val="008C7BB8"/>
    <w:rsid w:val="008D64DF"/>
    <w:rsid w:val="008E276F"/>
    <w:rsid w:val="00901335"/>
    <w:rsid w:val="00903833"/>
    <w:rsid w:val="00905590"/>
    <w:rsid w:val="00905635"/>
    <w:rsid w:val="0090612A"/>
    <w:rsid w:val="00907976"/>
    <w:rsid w:val="00911458"/>
    <w:rsid w:val="0091405C"/>
    <w:rsid w:val="009144D6"/>
    <w:rsid w:val="009205E0"/>
    <w:rsid w:val="00922A4D"/>
    <w:rsid w:val="00932F75"/>
    <w:rsid w:val="009331F0"/>
    <w:rsid w:val="009332AF"/>
    <w:rsid w:val="00933D4C"/>
    <w:rsid w:val="009370F3"/>
    <w:rsid w:val="0093795A"/>
    <w:rsid w:val="00940E1E"/>
    <w:rsid w:val="00941F27"/>
    <w:rsid w:val="009436FA"/>
    <w:rsid w:val="0094529E"/>
    <w:rsid w:val="0094661C"/>
    <w:rsid w:val="00946CC8"/>
    <w:rsid w:val="00950432"/>
    <w:rsid w:val="00952808"/>
    <w:rsid w:val="00953E1B"/>
    <w:rsid w:val="009604DE"/>
    <w:rsid w:val="009633E2"/>
    <w:rsid w:val="00965041"/>
    <w:rsid w:val="00971663"/>
    <w:rsid w:val="009752D5"/>
    <w:rsid w:val="00983818"/>
    <w:rsid w:val="0098455F"/>
    <w:rsid w:val="009856C1"/>
    <w:rsid w:val="00987947"/>
    <w:rsid w:val="00987D6E"/>
    <w:rsid w:val="00994019"/>
    <w:rsid w:val="009A2625"/>
    <w:rsid w:val="009A6192"/>
    <w:rsid w:val="009B4136"/>
    <w:rsid w:val="009B686B"/>
    <w:rsid w:val="009B6E10"/>
    <w:rsid w:val="009C03DD"/>
    <w:rsid w:val="009C3444"/>
    <w:rsid w:val="009D3830"/>
    <w:rsid w:val="009D5B8B"/>
    <w:rsid w:val="009D61F3"/>
    <w:rsid w:val="009D6336"/>
    <w:rsid w:val="009E09BF"/>
    <w:rsid w:val="009E1A7C"/>
    <w:rsid w:val="009E1BC9"/>
    <w:rsid w:val="009E2BFF"/>
    <w:rsid w:val="009E4F4A"/>
    <w:rsid w:val="009E7551"/>
    <w:rsid w:val="009F0AE2"/>
    <w:rsid w:val="009F1BC5"/>
    <w:rsid w:val="009F1DB0"/>
    <w:rsid w:val="009F4BA7"/>
    <w:rsid w:val="009F5ACC"/>
    <w:rsid w:val="009F6AFF"/>
    <w:rsid w:val="00A02F68"/>
    <w:rsid w:val="00A03EF8"/>
    <w:rsid w:val="00A0516C"/>
    <w:rsid w:val="00A07CE2"/>
    <w:rsid w:val="00A1198D"/>
    <w:rsid w:val="00A160D6"/>
    <w:rsid w:val="00A22D65"/>
    <w:rsid w:val="00A23526"/>
    <w:rsid w:val="00A23F9E"/>
    <w:rsid w:val="00A311BF"/>
    <w:rsid w:val="00A334B8"/>
    <w:rsid w:val="00A339B5"/>
    <w:rsid w:val="00A409B7"/>
    <w:rsid w:val="00A53E74"/>
    <w:rsid w:val="00A53F7D"/>
    <w:rsid w:val="00A55819"/>
    <w:rsid w:val="00A56375"/>
    <w:rsid w:val="00A56D43"/>
    <w:rsid w:val="00A61ED4"/>
    <w:rsid w:val="00A63FB8"/>
    <w:rsid w:val="00A66646"/>
    <w:rsid w:val="00A6697C"/>
    <w:rsid w:val="00A67729"/>
    <w:rsid w:val="00A71877"/>
    <w:rsid w:val="00A73F97"/>
    <w:rsid w:val="00A746D3"/>
    <w:rsid w:val="00A82FBB"/>
    <w:rsid w:val="00A847AF"/>
    <w:rsid w:val="00A9097E"/>
    <w:rsid w:val="00A930F5"/>
    <w:rsid w:val="00A93F64"/>
    <w:rsid w:val="00A95127"/>
    <w:rsid w:val="00A96019"/>
    <w:rsid w:val="00A970CF"/>
    <w:rsid w:val="00AA04B8"/>
    <w:rsid w:val="00AA50C3"/>
    <w:rsid w:val="00AB02FD"/>
    <w:rsid w:val="00AB21F6"/>
    <w:rsid w:val="00AB3AB8"/>
    <w:rsid w:val="00AB5F1A"/>
    <w:rsid w:val="00AC0959"/>
    <w:rsid w:val="00AC1ACC"/>
    <w:rsid w:val="00AC1F77"/>
    <w:rsid w:val="00AC227B"/>
    <w:rsid w:val="00AC4816"/>
    <w:rsid w:val="00AD1592"/>
    <w:rsid w:val="00AD37B1"/>
    <w:rsid w:val="00AE00A5"/>
    <w:rsid w:val="00AE178B"/>
    <w:rsid w:val="00AF26D8"/>
    <w:rsid w:val="00AF3894"/>
    <w:rsid w:val="00B00D12"/>
    <w:rsid w:val="00B01C97"/>
    <w:rsid w:val="00B03BA0"/>
    <w:rsid w:val="00B05884"/>
    <w:rsid w:val="00B058E8"/>
    <w:rsid w:val="00B15D3D"/>
    <w:rsid w:val="00B15DCA"/>
    <w:rsid w:val="00B1713A"/>
    <w:rsid w:val="00B311D8"/>
    <w:rsid w:val="00B36E5D"/>
    <w:rsid w:val="00B416FE"/>
    <w:rsid w:val="00B42175"/>
    <w:rsid w:val="00B42EB6"/>
    <w:rsid w:val="00B438A4"/>
    <w:rsid w:val="00B439C8"/>
    <w:rsid w:val="00B465C0"/>
    <w:rsid w:val="00B5470F"/>
    <w:rsid w:val="00B54B40"/>
    <w:rsid w:val="00B566A8"/>
    <w:rsid w:val="00B6238A"/>
    <w:rsid w:val="00B70C82"/>
    <w:rsid w:val="00B72C40"/>
    <w:rsid w:val="00B76A9C"/>
    <w:rsid w:val="00B778AD"/>
    <w:rsid w:val="00B80F37"/>
    <w:rsid w:val="00B84206"/>
    <w:rsid w:val="00B84DD2"/>
    <w:rsid w:val="00B94DAD"/>
    <w:rsid w:val="00BA147B"/>
    <w:rsid w:val="00BA2CDA"/>
    <w:rsid w:val="00BA68EA"/>
    <w:rsid w:val="00BA753E"/>
    <w:rsid w:val="00BB0500"/>
    <w:rsid w:val="00BB08E0"/>
    <w:rsid w:val="00BC4B04"/>
    <w:rsid w:val="00BC7238"/>
    <w:rsid w:val="00BD3C8F"/>
    <w:rsid w:val="00BD416E"/>
    <w:rsid w:val="00BD57E3"/>
    <w:rsid w:val="00BD62C5"/>
    <w:rsid w:val="00BE015E"/>
    <w:rsid w:val="00BE09E4"/>
    <w:rsid w:val="00BE0A08"/>
    <w:rsid w:val="00BE0C4E"/>
    <w:rsid w:val="00BE3530"/>
    <w:rsid w:val="00BE35F1"/>
    <w:rsid w:val="00BE3EA9"/>
    <w:rsid w:val="00BE459A"/>
    <w:rsid w:val="00BE5DD6"/>
    <w:rsid w:val="00BF3B38"/>
    <w:rsid w:val="00BF794F"/>
    <w:rsid w:val="00BF79A2"/>
    <w:rsid w:val="00C01529"/>
    <w:rsid w:val="00C0378F"/>
    <w:rsid w:val="00C05BD3"/>
    <w:rsid w:val="00C11793"/>
    <w:rsid w:val="00C13974"/>
    <w:rsid w:val="00C202B8"/>
    <w:rsid w:val="00C21944"/>
    <w:rsid w:val="00C24A22"/>
    <w:rsid w:val="00C25273"/>
    <w:rsid w:val="00C33D17"/>
    <w:rsid w:val="00C41190"/>
    <w:rsid w:val="00C503B2"/>
    <w:rsid w:val="00C61114"/>
    <w:rsid w:val="00C67F65"/>
    <w:rsid w:val="00C70C26"/>
    <w:rsid w:val="00C7341E"/>
    <w:rsid w:val="00C74AAE"/>
    <w:rsid w:val="00C7557D"/>
    <w:rsid w:val="00C8146B"/>
    <w:rsid w:val="00C850C4"/>
    <w:rsid w:val="00C85EC7"/>
    <w:rsid w:val="00C87BBA"/>
    <w:rsid w:val="00C949A2"/>
    <w:rsid w:val="00C95618"/>
    <w:rsid w:val="00CA58EF"/>
    <w:rsid w:val="00CA6217"/>
    <w:rsid w:val="00CA6FC4"/>
    <w:rsid w:val="00CA7164"/>
    <w:rsid w:val="00CA7468"/>
    <w:rsid w:val="00CB0BA8"/>
    <w:rsid w:val="00CB2E01"/>
    <w:rsid w:val="00CB56D4"/>
    <w:rsid w:val="00CB6E5E"/>
    <w:rsid w:val="00CD1EBB"/>
    <w:rsid w:val="00CD4BD1"/>
    <w:rsid w:val="00CD52F2"/>
    <w:rsid w:val="00CD7A38"/>
    <w:rsid w:val="00CE0EF0"/>
    <w:rsid w:val="00CE15C5"/>
    <w:rsid w:val="00CE3EE2"/>
    <w:rsid w:val="00CE418C"/>
    <w:rsid w:val="00CE7A87"/>
    <w:rsid w:val="00CF06BD"/>
    <w:rsid w:val="00CF4F3D"/>
    <w:rsid w:val="00CF7056"/>
    <w:rsid w:val="00CF72AD"/>
    <w:rsid w:val="00D004CB"/>
    <w:rsid w:val="00D103B3"/>
    <w:rsid w:val="00D143DA"/>
    <w:rsid w:val="00D23123"/>
    <w:rsid w:val="00D23E17"/>
    <w:rsid w:val="00D24E65"/>
    <w:rsid w:val="00D2534D"/>
    <w:rsid w:val="00D31EFB"/>
    <w:rsid w:val="00D36583"/>
    <w:rsid w:val="00D4001F"/>
    <w:rsid w:val="00D419F5"/>
    <w:rsid w:val="00D42983"/>
    <w:rsid w:val="00D57ECF"/>
    <w:rsid w:val="00D6469B"/>
    <w:rsid w:val="00D64B96"/>
    <w:rsid w:val="00D70B75"/>
    <w:rsid w:val="00D732D9"/>
    <w:rsid w:val="00D73E25"/>
    <w:rsid w:val="00D81F95"/>
    <w:rsid w:val="00D8434B"/>
    <w:rsid w:val="00D84DC3"/>
    <w:rsid w:val="00D85231"/>
    <w:rsid w:val="00D87160"/>
    <w:rsid w:val="00D9179B"/>
    <w:rsid w:val="00D937AE"/>
    <w:rsid w:val="00D9592A"/>
    <w:rsid w:val="00DA0AA1"/>
    <w:rsid w:val="00DA2583"/>
    <w:rsid w:val="00DB1695"/>
    <w:rsid w:val="00DB3706"/>
    <w:rsid w:val="00DC3386"/>
    <w:rsid w:val="00DC3970"/>
    <w:rsid w:val="00DC5C61"/>
    <w:rsid w:val="00DC65A9"/>
    <w:rsid w:val="00DD21BE"/>
    <w:rsid w:val="00DD21EB"/>
    <w:rsid w:val="00DD440A"/>
    <w:rsid w:val="00DD4B38"/>
    <w:rsid w:val="00DD6DC0"/>
    <w:rsid w:val="00DE3C6E"/>
    <w:rsid w:val="00DE4213"/>
    <w:rsid w:val="00DE6A69"/>
    <w:rsid w:val="00DF735D"/>
    <w:rsid w:val="00E000A2"/>
    <w:rsid w:val="00E01191"/>
    <w:rsid w:val="00E10A00"/>
    <w:rsid w:val="00E10BE7"/>
    <w:rsid w:val="00E117EF"/>
    <w:rsid w:val="00E17C72"/>
    <w:rsid w:val="00E27812"/>
    <w:rsid w:val="00E27889"/>
    <w:rsid w:val="00E30C3B"/>
    <w:rsid w:val="00E31001"/>
    <w:rsid w:val="00E33169"/>
    <w:rsid w:val="00E33B62"/>
    <w:rsid w:val="00E4415A"/>
    <w:rsid w:val="00E456CE"/>
    <w:rsid w:val="00E45E04"/>
    <w:rsid w:val="00E46122"/>
    <w:rsid w:val="00E53696"/>
    <w:rsid w:val="00E614E2"/>
    <w:rsid w:val="00E67212"/>
    <w:rsid w:val="00E71E48"/>
    <w:rsid w:val="00E7579B"/>
    <w:rsid w:val="00E76685"/>
    <w:rsid w:val="00E802B0"/>
    <w:rsid w:val="00E82016"/>
    <w:rsid w:val="00E84CA5"/>
    <w:rsid w:val="00E92EB2"/>
    <w:rsid w:val="00E961AE"/>
    <w:rsid w:val="00EA112D"/>
    <w:rsid w:val="00EA638B"/>
    <w:rsid w:val="00EB1DD7"/>
    <w:rsid w:val="00EB3A6E"/>
    <w:rsid w:val="00EB408B"/>
    <w:rsid w:val="00EB63E4"/>
    <w:rsid w:val="00EB695F"/>
    <w:rsid w:val="00EB7A7F"/>
    <w:rsid w:val="00EC3A7C"/>
    <w:rsid w:val="00ED5269"/>
    <w:rsid w:val="00ED73FD"/>
    <w:rsid w:val="00EE76AD"/>
    <w:rsid w:val="00EF31DC"/>
    <w:rsid w:val="00EF4BB0"/>
    <w:rsid w:val="00F00C42"/>
    <w:rsid w:val="00F01AA6"/>
    <w:rsid w:val="00F01FEC"/>
    <w:rsid w:val="00F023A3"/>
    <w:rsid w:val="00F05AED"/>
    <w:rsid w:val="00F13803"/>
    <w:rsid w:val="00F254C3"/>
    <w:rsid w:val="00F31083"/>
    <w:rsid w:val="00F35DD4"/>
    <w:rsid w:val="00F41370"/>
    <w:rsid w:val="00F423B0"/>
    <w:rsid w:val="00F4749B"/>
    <w:rsid w:val="00F54362"/>
    <w:rsid w:val="00F547CA"/>
    <w:rsid w:val="00F548F1"/>
    <w:rsid w:val="00F5581D"/>
    <w:rsid w:val="00F57CEE"/>
    <w:rsid w:val="00F642DB"/>
    <w:rsid w:val="00F6775C"/>
    <w:rsid w:val="00F7531B"/>
    <w:rsid w:val="00F767D6"/>
    <w:rsid w:val="00F8187C"/>
    <w:rsid w:val="00F8786F"/>
    <w:rsid w:val="00F87D24"/>
    <w:rsid w:val="00F975D3"/>
    <w:rsid w:val="00FA0949"/>
    <w:rsid w:val="00FA3E96"/>
    <w:rsid w:val="00FA4768"/>
    <w:rsid w:val="00FA5E83"/>
    <w:rsid w:val="00FB1051"/>
    <w:rsid w:val="00FB2A81"/>
    <w:rsid w:val="00FC58D6"/>
    <w:rsid w:val="00FC7C30"/>
    <w:rsid w:val="00FD2DD0"/>
    <w:rsid w:val="00FE09BB"/>
    <w:rsid w:val="00FE5E85"/>
    <w:rsid w:val="00FE6FE3"/>
    <w:rsid w:val="00FF15A7"/>
    <w:rsid w:val="00FF2AA6"/>
    <w:rsid w:val="00FF6ED1"/>
    <w:rsid w:val="00FF7216"/>
  </w:rsids>
  <m:mathPr>
    <m:mathFont m:val="Cambria Math"/>
    <m:brkBin m:val="before"/>
    <m:brkBinSub m:val="--"/>
    <m:smallFrac m:val="0"/>
    <m:dispDef m:val="0"/>
    <m:lMargin m:val="0"/>
    <m:rMargin m:val="0"/>
    <m:defJc m:val="centerGroup"/>
    <m:wrapRight/>
    <m:intLim m:val="subSup"/>
    <m:naryLim m:val="subSup"/>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8BC78"/>
  <w15:docId w15:val="{3F0868C2-7A12-4DBF-908F-E4F5B429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qFormat="1"/>
    <w:lsdException w:name="heading 4" w:semiHidden="1" w:uiPriority="9" w:unhideWhenUsed="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973"/>
    <w:pPr>
      <w:spacing w:before="120" w:after="120" w:line="264" w:lineRule="auto"/>
    </w:pPr>
    <w:rPr>
      <w:rFonts w:asciiTheme="minorHAnsi" w:eastAsia="Times New Roman" w:hAnsiTheme="minorHAnsi"/>
      <w:szCs w:val="24"/>
    </w:rPr>
  </w:style>
  <w:style w:type="paragraph" w:styleId="Heading1">
    <w:name w:val="heading 1"/>
    <w:basedOn w:val="Normal"/>
    <w:next w:val="Normal"/>
    <w:link w:val="Heading1Char"/>
    <w:uiPriority w:val="1"/>
    <w:qFormat/>
    <w:rsid w:val="00746DFF"/>
    <w:pPr>
      <w:keepNext/>
      <w:keepLines/>
      <w:spacing w:before="240"/>
      <w:contextualSpacing/>
      <w:outlineLvl w:val="0"/>
    </w:pPr>
    <w:rPr>
      <w:rFonts w:asciiTheme="majorHAnsi" w:eastAsiaTheme="majorEastAsia" w:hAnsiTheme="majorHAnsi" w:cstheme="majorBidi"/>
      <w:b/>
      <w:bCs/>
      <w:color w:val="293574" w:themeColor="accent1"/>
      <w:sz w:val="24"/>
      <w:szCs w:val="28"/>
    </w:rPr>
  </w:style>
  <w:style w:type="paragraph" w:styleId="Heading2">
    <w:name w:val="heading 2"/>
    <w:basedOn w:val="Normal"/>
    <w:next w:val="Normal"/>
    <w:link w:val="Heading2Char"/>
    <w:uiPriority w:val="1"/>
    <w:qFormat/>
    <w:rsid w:val="00304F36"/>
    <w:pPr>
      <w:keepNext/>
      <w:keepLines/>
      <w:spacing w:before="240"/>
      <w:contextualSpacing/>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1"/>
    <w:qFormat/>
    <w:rsid w:val="00DC65A9"/>
    <w:pPr>
      <w:keepNext/>
      <w:keepLines/>
      <w:contextualSpacing/>
      <w:outlineLvl w:val="2"/>
    </w:pPr>
    <w:rPr>
      <w:rFonts w:asciiTheme="majorHAnsi" w:eastAsiaTheme="majorEastAsia" w:hAnsiTheme="majorHAnsi" w:cstheme="majorBidi"/>
      <w:b/>
      <w:bCs/>
      <w:i/>
    </w:rPr>
  </w:style>
  <w:style w:type="paragraph" w:styleId="Heading4">
    <w:name w:val="heading 4"/>
    <w:basedOn w:val="Normal"/>
    <w:next w:val="Normal"/>
    <w:link w:val="Heading4Char"/>
    <w:semiHidden/>
    <w:rsid w:val="00A07CE2"/>
    <w:pPr>
      <w:keepNext/>
      <w:keepLines/>
      <w:contextualSpacing/>
      <w:outlineLvl w:val="3"/>
    </w:pPr>
    <w:rPr>
      <w:rFonts w:asciiTheme="majorHAnsi" w:eastAsiaTheme="majorEastAsia" w:hAnsiTheme="majorHAnsi" w:cstheme="majorBidi"/>
      <w:b/>
      <w:bCs/>
      <w:iCs/>
      <w:color w:val="4D90CD"/>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uiPriority w:val="99"/>
    <w:rsid w:val="00B5470F"/>
    <w:pPr>
      <w:spacing w:before="0" w:after="360" w:line="240" w:lineRule="auto"/>
      <w:contextualSpacing/>
    </w:pPr>
    <w:rPr>
      <w:b/>
      <w:noProof/>
      <w:color w:val="293574" w:themeColor="accent1"/>
      <w:sz w:val="24"/>
      <w:szCs w:val="28"/>
      <w:lang w:eastAsia="en-AU"/>
    </w:rPr>
  </w:style>
  <w:style w:type="paragraph" w:styleId="Header">
    <w:name w:val="header"/>
    <w:basedOn w:val="Normal"/>
    <w:semiHidden/>
    <w:rsid w:val="000971C7"/>
    <w:pPr>
      <w:tabs>
        <w:tab w:val="center" w:pos="4153"/>
        <w:tab w:val="right" w:pos="8306"/>
      </w:tabs>
    </w:pPr>
  </w:style>
  <w:style w:type="paragraph" w:styleId="Footer">
    <w:name w:val="footer"/>
    <w:basedOn w:val="Normal"/>
    <w:link w:val="FooterChar"/>
    <w:uiPriority w:val="99"/>
    <w:rsid w:val="004549CA"/>
    <w:pPr>
      <w:tabs>
        <w:tab w:val="center" w:pos="4153"/>
        <w:tab w:val="right" w:pos="8306"/>
      </w:tabs>
      <w:spacing w:before="0" w:after="0" w:line="240" w:lineRule="auto"/>
      <w:jc w:val="right"/>
    </w:pPr>
    <w:rPr>
      <w:b/>
      <w:color w:val="BFBFBF" w:themeColor="background1" w:themeShade="BF"/>
    </w:rPr>
  </w:style>
  <w:style w:type="paragraph" w:customStyle="1" w:styleId="ChartHeading">
    <w:name w:val="Chart Heading"/>
    <w:basedOn w:val="Normal"/>
    <w:next w:val="Normal"/>
    <w:uiPriority w:val="2"/>
    <w:qFormat/>
    <w:rsid w:val="00CB2E01"/>
    <w:pPr>
      <w:keepNext/>
      <w:keepLines/>
      <w:spacing w:before="240" w:after="0"/>
      <w:contextualSpacing/>
    </w:pPr>
    <w:rPr>
      <w:rFonts w:cstheme="minorHAnsi"/>
      <w:b/>
      <w:caps/>
    </w:rPr>
  </w:style>
  <w:style w:type="paragraph" w:customStyle="1" w:styleId="Source">
    <w:name w:val="Source"/>
    <w:basedOn w:val="Normal"/>
    <w:next w:val="Normal"/>
    <w:uiPriority w:val="99"/>
    <w:qFormat/>
    <w:rsid w:val="00347B15"/>
    <w:pPr>
      <w:spacing w:after="240"/>
      <w:contextualSpacing/>
    </w:pPr>
    <w:rPr>
      <w:rFonts w:cstheme="minorHAnsi"/>
      <w:sz w:val="16"/>
      <w:szCs w:val="16"/>
    </w:rPr>
  </w:style>
  <w:style w:type="table" w:styleId="MediumShading1-Accent1">
    <w:name w:val="Medium Shading 1 Accent 1"/>
    <w:aliases w:val="Default table design"/>
    <w:basedOn w:val="TableNormal"/>
    <w:uiPriority w:val="63"/>
    <w:rsid w:val="00264C91"/>
    <w:rPr>
      <w:rFonts w:asciiTheme="minorHAnsi" w:hAnsiTheme="minorHAnsi"/>
      <w:sz w:val="18"/>
    </w:rPr>
    <w:tblPr>
      <w:tblStyleRowBandSize w:val="1"/>
      <w:tblStyleColBandSize w:val="1"/>
      <w:tblInd w:w="85" w:type="dxa"/>
      <w:tblBorders>
        <w:top w:val="single" w:sz="4" w:space="0" w:color="293574" w:themeColor="accent1"/>
        <w:left w:val="single" w:sz="4" w:space="0" w:color="293574" w:themeColor="accent1"/>
        <w:bottom w:val="single" w:sz="4" w:space="0" w:color="293574" w:themeColor="accent1"/>
        <w:right w:val="single" w:sz="4" w:space="0" w:color="293574" w:themeColor="accent1"/>
        <w:insideH w:val="single" w:sz="4" w:space="0" w:color="293574" w:themeColor="accent1"/>
        <w:insideV w:val="single" w:sz="4" w:space="0" w:color="293574" w:themeColor="accent1"/>
      </w:tblBorders>
      <w:tblCellMar>
        <w:top w:w="28" w:type="dxa"/>
        <w:left w:w="85" w:type="dxa"/>
        <w:bottom w:w="28" w:type="dxa"/>
        <w:right w:w="85" w:type="dxa"/>
      </w:tblCellMar>
    </w:tblPr>
    <w:tblStylePr w:type="firstRow">
      <w:pPr>
        <w:spacing w:before="0" w:after="0" w:line="240" w:lineRule="auto"/>
      </w:pPr>
      <w:rPr>
        <w:b/>
        <w:bCs/>
        <w:color w:val="FFFFFF" w:themeColor="background1"/>
      </w:rPr>
      <w:tblPr/>
      <w:tcPr>
        <w:tcBorders>
          <w:top w:val="single" w:sz="4" w:space="0" w:color="293574" w:themeColor="accent1"/>
          <w:left w:val="single" w:sz="4" w:space="0" w:color="293574" w:themeColor="accent1"/>
          <w:bottom w:val="single" w:sz="4" w:space="0" w:color="293574" w:themeColor="accent1"/>
          <w:right w:val="single" w:sz="4" w:space="0" w:color="293574" w:themeColor="accent1"/>
          <w:insideH w:val="single" w:sz="4" w:space="0" w:color="293574" w:themeColor="accent1"/>
          <w:insideV w:val="single" w:sz="4" w:space="0" w:color="293574" w:themeColor="accent1"/>
        </w:tcBorders>
        <w:shd w:val="clear" w:color="auto" w:fill="293574" w:themeFill="accent1"/>
      </w:tcPr>
    </w:tblStylePr>
    <w:tblStylePr w:type="lastRow">
      <w:pPr>
        <w:spacing w:before="0" w:after="0" w:line="240" w:lineRule="auto"/>
      </w:pPr>
      <w:rPr>
        <w:b/>
        <w:bCs/>
      </w:rPr>
      <w:tblPr/>
      <w:tcPr>
        <w:tcBorders>
          <w:top w:val="single" w:sz="4" w:space="0" w:color="293574" w:themeColor="accent1"/>
          <w:left w:val="single" w:sz="4" w:space="0" w:color="293574" w:themeColor="accent1"/>
          <w:bottom w:val="single" w:sz="4" w:space="0" w:color="293574" w:themeColor="accent1"/>
          <w:right w:val="single" w:sz="4" w:space="0" w:color="293574" w:themeColor="accent1"/>
          <w:insideH w:val="single" w:sz="4" w:space="0" w:color="293574" w:themeColor="accent1"/>
          <w:insideV w:val="single" w:sz="4" w:space="0" w:color="293574" w:themeColor="accent1"/>
        </w:tcBorders>
      </w:tcPr>
    </w:tblStylePr>
    <w:tblStylePr w:type="firstCol">
      <w:rPr>
        <w:b/>
        <w:bCs/>
      </w:rPr>
    </w:tblStylePr>
    <w:tblStylePr w:type="lastCol">
      <w:rPr>
        <w:b/>
        <w:bCs/>
      </w:rPr>
    </w:tblStylePr>
    <w:tblStylePr w:type="band1Horz">
      <w:tblPr/>
      <w:tcPr>
        <w:tcBorders>
          <w:top w:val="single" w:sz="4" w:space="0" w:color="293574" w:themeColor="accent1"/>
          <w:left w:val="single" w:sz="4" w:space="0" w:color="293574" w:themeColor="accent1"/>
          <w:bottom w:val="single" w:sz="4" w:space="0" w:color="293574" w:themeColor="accent1"/>
          <w:right w:val="single" w:sz="4" w:space="0" w:color="293574" w:themeColor="accent1"/>
          <w:insideH w:val="single" w:sz="4" w:space="0" w:color="293574" w:themeColor="accent1"/>
          <w:insideV w:val="single" w:sz="4" w:space="0" w:color="293574" w:themeColor="accent1"/>
        </w:tcBorders>
      </w:tcPr>
    </w:tblStylePr>
    <w:tblStylePr w:type="band2Horz">
      <w:tblPr/>
      <w:tcPr>
        <w:tcBorders>
          <w:top w:val="single" w:sz="4" w:space="0" w:color="293574" w:themeColor="accent1"/>
          <w:left w:val="single" w:sz="4" w:space="0" w:color="293574" w:themeColor="accent1"/>
          <w:bottom w:val="single" w:sz="4" w:space="0" w:color="293574" w:themeColor="accent1"/>
          <w:right w:val="single" w:sz="4" w:space="0" w:color="293574" w:themeColor="accent1"/>
          <w:insideH w:val="single" w:sz="4" w:space="0" w:color="293574" w:themeColor="accent1"/>
          <w:insideV w:val="single" w:sz="4" w:space="0" w:color="293574" w:themeColor="accent1"/>
        </w:tcBorders>
      </w:tcPr>
    </w:tblStylePr>
  </w:style>
  <w:style w:type="character" w:styleId="Hyperlink">
    <w:name w:val="Hyperlink"/>
    <w:uiPriority w:val="99"/>
    <w:rsid w:val="00857AC3"/>
    <w:rPr>
      <w:b/>
      <w:color w:val="293574" w:themeColor="accent1"/>
      <w:u w:val="none"/>
    </w:rPr>
  </w:style>
  <w:style w:type="paragraph" w:styleId="Date">
    <w:name w:val="Date"/>
    <w:basedOn w:val="Normal"/>
    <w:next w:val="Normal"/>
    <w:link w:val="DateChar"/>
    <w:uiPriority w:val="2"/>
    <w:rsid w:val="00783D34"/>
    <w:pPr>
      <w:spacing w:before="0" w:after="0"/>
      <w:jc w:val="right"/>
    </w:pPr>
    <w:rPr>
      <w:b/>
      <w:color w:val="293574" w:themeColor="accent1"/>
      <w:sz w:val="24"/>
    </w:rPr>
  </w:style>
  <w:style w:type="paragraph" w:styleId="TOC1">
    <w:name w:val="toc 1"/>
    <w:basedOn w:val="Normal"/>
    <w:next w:val="Normal"/>
    <w:semiHidden/>
    <w:rsid w:val="000971C7"/>
    <w:pPr>
      <w:spacing w:before="240"/>
    </w:pPr>
    <w:rPr>
      <w:b/>
      <w:bCs/>
      <w:szCs w:val="20"/>
    </w:rPr>
  </w:style>
  <w:style w:type="character" w:customStyle="1" w:styleId="DateChar">
    <w:name w:val="Date Char"/>
    <w:basedOn w:val="DefaultParagraphFont"/>
    <w:link w:val="Date"/>
    <w:uiPriority w:val="2"/>
    <w:rsid w:val="00F35DD4"/>
    <w:rPr>
      <w:rFonts w:asciiTheme="minorHAnsi" w:eastAsia="Times New Roman" w:hAnsiTheme="minorHAnsi"/>
      <w:b/>
      <w:color w:val="293574" w:themeColor="accent1"/>
      <w:sz w:val="24"/>
      <w:szCs w:val="24"/>
    </w:rPr>
  </w:style>
  <w:style w:type="paragraph" w:customStyle="1" w:styleId="TableText">
    <w:name w:val="Table Text"/>
    <w:basedOn w:val="Normal"/>
    <w:uiPriority w:val="2"/>
    <w:qFormat/>
    <w:rsid w:val="00783D34"/>
    <w:pPr>
      <w:spacing w:before="0" w:after="0"/>
    </w:pPr>
    <w:rPr>
      <w:sz w:val="18"/>
      <w:szCs w:val="18"/>
    </w:rPr>
  </w:style>
  <w:style w:type="paragraph" w:styleId="TOCHeading">
    <w:name w:val="TOC Heading"/>
    <w:basedOn w:val="Normal"/>
    <w:semiHidden/>
    <w:rsid w:val="000971C7"/>
    <w:pPr>
      <w:tabs>
        <w:tab w:val="right" w:pos="9378"/>
      </w:tabs>
      <w:spacing w:after="240"/>
    </w:pPr>
    <w:rPr>
      <w:b/>
      <w:color w:val="4D90CD"/>
      <w:sz w:val="28"/>
      <w:szCs w:val="28"/>
    </w:rPr>
  </w:style>
  <w:style w:type="paragraph" w:customStyle="1" w:styleId="Disclaimer">
    <w:name w:val="Disclaimer"/>
    <w:basedOn w:val="Normal"/>
    <w:uiPriority w:val="99"/>
    <w:rsid w:val="00965041"/>
    <w:pPr>
      <w:spacing w:before="0" w:after="0"/>
    </w:pPr>
    <w:rPr>
      <w:sz w:val="14"/>
      <w:szCs w:val="14"/>
      <w:lang w:eastAsia="en-AU"/>
    </w:rPr>
  </w:style>
  <w:style w:type="paragraph" w:customStyle="1" w:styleId="Signoff">
    <w:name w:val="Sign off"/>
    <w:basedOn w:val="Normal"/>
    <w:uiPriority w:val="99"/>
    <w:rsid w:val="00965041"/>
    <w:pPr>
      <w:spacing w:before="0" w:after="0"/>
    </w:pPr>
    <w:rPr>
      <w:sz w:val="18"/>
      <w:szCs w:val="18"/>
      <w:lang w:eastAsia="en-AU"/>
    </w:rPr>
  </w:style>
  <w:style w:type="character" w:styleId="PageNumber">
    <w:name w:val="page number"/>
    <w:basedOn w:val="DefaultParagraphFont"/>
    <w:semiHidden/>
    <w:rsid w:val="000971C7"/>
  </w:style>
  <w:style w:type="paragraph" w:styleId="TOC2">
    <w:name w:val="toc 2"/>
    <w:basedOn w:val="Normal"/>
    <w:next w:val="Normal"/>
    <w:autoRedefine/>
    <w:semiHidden/>
    <w:rsid w:val="000971C7"/>
    <w:pPr>
      <w:ind w:left="200"/>
    </w:pPr>
  </w:style>
  <w:style w:type="paragraph" w:styleId="BalloonText">
    <w:name w:val="Balloon Text"/>
    <w:basedOn w:val="Normal"/>
    <w:link w:val="BalloonTextChar"/>
    <w:semiHidden/>
    <w:rsid w:val="00897341"/>
    <w:rPr>
      <w:rFonts w:ascii="Tahoma" w:hAnsi="Tahoma" w:cs="Tahoma"/>
      <w:sz w:val="16"/>
      <w:szCs w:val="16"/>
    </w:rPr>
  </w:style>
  <w:style w:type="character" w:customStyle="1" w:styleId="BalloonTextChar">
    <w:name w:val="Balloon Text Char"/>
    <w:basedOn w:val="DefaultParagraphFont"/>
    <w:link w:val="BalloonText"/>
    <w:semiHidden/>
    <w:rsid w:val="00446B18"/>
    <w:rPr>
      <w:rFonts w:ascii="Tahoma" w:eastAsia="Times New Roman" w:hAnsi="Tahoma" w:cs="Tahoma"/>
      <w:sz w:val="16"/>
      <w:szCs w:val="16"/>
    </w:rPr>
  </w:style>
  <w:style w:type="table" w:styleId="TableGrid">
    <w:name w:val="Table Grid"/>
    <w:basedOn w:val="TableNormal"/>
    <w:rsid w:val="006E6F1C"/>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29"/>
    <w:qFormat/>
    <w:rsid w:val="006B3973"/>
    <w:rPr>
      <w:szCs w:val="20"/>
      <w:lang w:eastAsia="en-AU"/>
    </w:rPr>
  </w:style>
  <w:style w:type="character" w:styleId="CommentReference">
    <w:name w:val="annotation reference"/>
    <w:basedOn w:val="DefaultParagraphFont"/>
    <w:uiPriority w:val="99"/>
    <w:rsid w:val="00862B44"/>
    <w:rPr>
      <w:sz w:val="16"/>
      <w:szCs w:val="16"/>
    </w:rPr>
  </w:style>
  <w:style w:type="paragraph" w:styleId="CommentText">
    <w:name w:val="annotation text"/>
    <w:basedOn w:val="Normal"/>
    <w:link w:val="CommentTextChar"/>
    <w:semiHidden/>
    <w:rsid w:val="00862B44"/>
    <w:rPr>
      <w:szCs w:val="20"/>
    </w:rPr>
  </w:style>
  <w:style w:type="character" w:customStyle="1" w:styleId="CommentTextChar">
    <w:name w:val="Comment Text Char"/>
    <w:basedOn w:val="DefaultParagraphFont"/>
    <w:link w:val="CommentText"/>
    <w:semiHidden/>
    <w:rsid w:val="00446B18"/>
    <w:rPr>
      <w:rFonts w:asciiTheme="minorHAnsi" w:eastAsia="Times New Roman" w:hAnsiTheme="minorHAnsi"/>
    </w:rPr>
  </w:style>
  <w:style w:type="paragraph" w:styleId="CommentSubject">
    <w:name w:val="annotation subject"/>
    <w:basedOn w:val="CommentText"/>
    <w:next w:val="CommentText"/>
    <w:link w:val="CommentSubjectChar"/>
    <w:semiHidden/>
    <w:rsid w:val="00862B44"/>
    <w:rPr>
      <w:b/>
      <w:bCs/>
    </w:rPr>
  </w:style>
  <w:style w:type="character" w:customStyle="1" w:styleId="CommentSubjectChar">
    <w:name w:val="Comment Subject Char"/>
    <w:basedOn w:val="CommentTextChar"/>
    <w:link w:val="CommentSubject"/>
    <w:semiHidden/>
    <w:rsid w:val="00446B18"/>
    <w:rPr>
      <w:rFonts w:asciiTheme="minorHAnsi" w:eastAsia="Times New Roman" w:hAnsiTheme="minorHAnsi"/>
      <w:b/>
      <w:bCs/>
    </w:rPr>
  </w:style>
  <w:style w:type="character" w:styleId="FollowedHyperlink">
    <w:name w:val="FollowedHyperlink"/>
    <w:basedOn w:val="DefaultParagraphFont"/>
    <w:semiHidden/>
    <w:rsid w:val="00CD52F2"/>
    <w:rPr>
      <w:color w:val="000000" w:themeColor="followedHyperlink"/>
      <w:u w:val="single"/>
    </w:rPr>
  </w:style>
  <w:style w:type="paragraph" w:styleId="Revision">
    <w:name w:val="Revision"/>
    <w:hidden/>
    <w:uiPriority w:val="99"/>
    <w:semiHidden/>
    <w:rsid w:val="00682ACD"/>
    <w:rPr>
      <w:rFonts w:ascii="Verdana" w:eastAsia="Times New Roman" w:hAnsi="Verdana"/>
      <w:szCs w:val="24"/>
    </w:rPr>
  </w:style>
  <w:style w:type="paragraph" w:customStyle="1" w:styleId="Default">
    <w:name w:val="Default"/>
    <w:rsid w:val="00AB3AB8"/>
    <w:pPr>
      <w:autoSpaceDE w:val="0"/>
      <w:autoSpaceDN w:val="0"/>
      <w:adjustRightInd w:val="0"/>
    </w:pPr>
    <w:rPr>
      <w:rFonts w:ascii="Arial" w:eastAsia="Arial" w:hAnsi="Arial" w:cs="Arial"/>
      <w:color w:val="000000"/>
      <w:sz w:val="24"/>
      <w:szCs w:val="24"/>
      <w:lang w:eastAsia="en-AU"/>
    </w:rPr>
  </w:style>
  <w:style w:type="character" w:customStyle="1" w:styleId="Heading2Char">
    <w:name w:val="Heading 2 Char"/>
    <w:basedOn w:val="DefaultParagraphFont"/>
    <w:link w:val="Heading2"/>
    <w:uiPriority w:val="1"/>
    <w:rsid w:val="00F35DD4"/>
    <w:rPr>
      <w:rFonts w:asciiTheme="majorHAnsi" w:eastAsiaTheme="majorEastAsia" w:hAnsiTheme="majorHAnsi" w:cstheme="majorBidi"/>
      <w:b/>
      <w:bCs/>
      <w:szCs w:val="26"/>
    </w:rPr>
  </w:style>
  <w:style w:type="character" w:styleId="Strong">
    <w:name w:val="Strong"/>
    <w:basedOn w:val="DefaultParagraphFont"/>
    <w:uiPriority w:val="22"/>
    <w:semiHidden/>
    <w:rsid w:val="00175845"/>
    <w:rPr>
      <w:rFonts w:asciiTheme="minorHAnsi" w:hAnsiTheme="minorHAnsi"/>
      <w:b/>
      <w:bCs/>
    </w:rPr>
  </w:style>
  <w:style w:type="paragraph" w:styleId="FootnoteText">
    <w:name w:val="footnote text"/>
    <w:basedOn w:val="Normal"/>
    <w:link w:val="FootnoteTextChar"/>
    <w:uiPriority w:val="99"/>
    <w:unhideWhenUsed/>
    <w:rsid w:val="00A07CE2"/>
    <w:pPr>
      <w:spacing w:before="0" w:after="0"/>
    </w:pPr>
    <w:rPr>
      <w:rFonts w:eastAsia="Arial"/>
      <w:sz w:val="16"/>
      <w:szCs w:val="20"/>
    </w:rPr>
  </w:style>
  <w:style w:type="character" w:customStyle="1" w:styleId="FootnoteTextChar">
    <w:name w:val="Footnote Text Char"/>
    <w:basedOn w:val="DefaultParagraphFont"/>
    <w:link w:val="FootnoteText"/>
    <w:uiPriority w:val="99"/>
    <w:rsid w:val="00A07CE2"/>
    <w:rPr>
      <w:rFonts w:asciiTheme="minorHAnsi" w:eastAsia="Arial" w:hAnsiTheme="minorHAnsi"/>
      <w:sz w:val="16"/>
    </w:rPr>
  </w:style>
  <w:style w:type="character" w:styleId="FootnoteReference">
    <w:name w:val="footnote reference"/>
    <w:basedOn w:val="DefaultParagraphFont"/>
    <w:uiPriority w:val="99"/>
    <w:unhideWhenUsed/>
    <w:rsid w:val="00C21944"/>
    <w:rPr>
      <w:vertAlign w:val="superscript"/>
    </w:rPr>
  </w:style>
  <w:style w:type="character" w:customStyle="1" w:styleId="Heading4Char">
    <w:name w:val="Heading 4 Char"/>
    <w:basedOn w:val="DefaultParagraphFont"/>
    <w:link w:val="Heading4"/>
    <w:semiHidden/>
    <w:rsid w:val="00446B18"/>
    <w:rPr>
      <w:rFonts w:asciiTheme="majorHAnsi" w:eastAsiaTheme="majorEastAsia" w:hAnsiTheme="majorHAnsi" w:cstheme="majorBidi"/>
      <w:b/>
      <w:bCs/>
      <w:iCs/>
      <w:color w:val="4D90CD"/>
      <w:szCs w:val="22"/>
    </w:rPr>
  </w:style>
  <w:style w:type="character" w:customStyle="1" w:styleId="FooterChar">
    <w:name w:val="Footer Char"/>
    <w:basedOn w:val="DefaultParagraphFont"/>
    <w:link w:val="Footer"/>
    <w:uiPriority w:val="99"/>
    <w:rsid w:val="004549CA"/>
    <w:rPr>
      <w:rFonts w:asciiTheme="minorHAnsi" w:eastAsia="Times New Roman" w:hAnsiTheme="minorHAnsi"/>
      <w:b/>
      <w:color w:val="BFBFBF" w:themeColor="background1" w:themeShade="BF"/>
      <w:szCs w:val="24"/>
    </w:rPr>
  </w:style>
  <w:style w:type="character" w:customStyle="1" w:styleId="Heading1Char">
    <w:name w:val="Heading 1 Char"/>
    <w:basedOn w:val="DefaultParagraphFont"/>
    <w:link w:val="Heading1"/>
    <w:uiPriority w:val="1"/>
    <w:rsid w:val="00F35DD4"/>
    <w:rPr>
      <w:rFonts w:asciiTheme="majorHAnsi" w:eastAsiaTheme="majorEastAsia" w:hAnsiTheme="majorHAnsi" w:cstheme="majorBidi"/>
      <w:b/>
      <w:bCs/>
      <w:color w:val="293574" w:themeColor="accent1"/>
      <w:sz w:val="24"/>
      <w:szCs w:val="28"/>
    </w:rPr>
  </w:style>
  <w:style w:type="character" w:customStyle="1" w:styleId="Heading3Char">
    <w:name w:val="Heading 3 Char"/>
    <w:basedOn w:val="DefaultParagraphFont"/>
    <w:link w:val="Heading3"/>
    <w:uiPriority w:val="1"/>
    <w:rsid w:val="00DC65A9"/>
    <w:rPr>
      <w:rFonts w:asciiTheme="majorHAnsi" w:eastAsiaTheme="majorEastAsia" w:hAnsiTheme="majorHAnsi" w:cstheme="majorBidi"/>
      <w:b/>
      <w:bCs/>
      <w:i/>
      <w:szCs w:val="24"/>
    </w:rPr>
  </w:style>
  <w:style w:type="paragraph" w:customStyle="1" w:styleId="Bodycopy">
    <w:name w:val="Body copy"/>
    <w:basedOn w:val="Normal"/>
    <w:qFormat/>
    <w:rsid w:val="00D2534D"/>
    <w:pPr>
      <w:spacing w:before="0" w:after="60" w:line="240" w:lineRule="auto"/>
    </w:pPr>
    <w:rPr>
      <w:rFonts w:ascii="Arial" w:eastAsiaTheme="minorEastAsia" w:hAnsi="Arial" w:cstheme="minorBidi"/>
      <w:sz w:val="18"/>
      <w:szCs w:val="22"/>
      <w:lang w:eastAsia="en-AU"/>
    </w:rPr>
  </w:style>
  <w:style w:type="character" w:customStyle="1" w:styleId="defaultparagraphfont0">
    <w:name w:val="defaultparagraphfont"/>
    <w:basedOn w:val="DefaultParagraphFont"/>
    <w:rsid w:val="00526B17"/>
  </w:style>
  <w:style w:type="paragraph" w:styleId="NormalWeb">
    <w:name w:val="Normal (Web)"/>
    <w:basedOn w:val="Normal"/>
    <w:uiPriority w:val="99"/>
    <w:unhideWhenUsed/>
    <w:rsid w:val="00C949A2"/>
    <w:pPr>
      <w:spacing w:before="100" w:beforeAutospacing="1" w:after="100" w:afterAutospacing="1" w:line="240" w:lineRule="auto"/>
    </w:pPr>
    <w:rPr>
      <w:rFonts w:ascii="Times New Roman" w:hAnsi="Times New Roman"/>
      <w:sz w:val="24"/>
      <w:lang w:eastAsia="en-AU"/>
    </w:rPr>
  </w:style>
  <w:style w:type="paragraph" w:customStyle="1" w:styleId="FFheading1">
    <w:name w:val="FF_heading_1"/>
    <w:basedOn w:val="Normal"/>
    <w:link w:val="FFheading1Char"/>
    <w:qFormat/>
    <w:rsid w:val="006E4903"/>
    <w:pPr>
      <w:spacing w:line="240" w:lineRule="auto"/>
    </w:pPr>
    <w:rPr>
      <w:rFonts w:ascii="Arial" w:hAnsi="Arial"/>
      <w:sz w:val="28"/>
      <w:lang w:val="x-none" w:eastAsia="x-none"/>
    </w:rPr>
  </w:style>
  <w:style w:type="character" w:customStyle="1" w:styleId="FFheading1Char">
    <w:name w:val="FF_heading_1 Char"/>
    <w:link w:val="FFheading1"/>
    <w:rsid w:val="006E4903"/>
    <w:rPr>
      <w:rFonts w:ascii="Arial" w:eastAsia="Times New Roman" w:hAnsi="Arial"/>
      <w:sz w:val="28"/>
      <w:szCs w:val="24"/>
      <w:lang w:val="x-none" w:eastAsia="x-none"/>
    </w:rPr>
  </w:style>
  <w:style w:type="paragraph" w:customStyle="1" w:styleId="FFbody">
    <w:name w:val="FF_body"/>
    <w:basedOn w:val="Normal"/>
    <w:link w:val="FFbodyChar"/>
    <w:qFormat/>
    <w:rsid w:val="006E4903"/>
    <w:pPr>
      <w:spacing w:before="0" w:line="240" w:lineRule="auto"/>
    </w:pPr>
    <w:rPr>
      <w:rFonts w:ascii="Arial" w:hAnsi="Arial"/>
      <w:lang w:val="x-none" w:eastAsia="x-none"/>
    </w:rPr>
  </w:style>
  <w:style w:type="paragraph" w:customStyle="1" w:styleId="FFheading2">
    <w:name w:val="FF_heading_2"/>
    <w:basedOn w:val="Normal"/>
    <w:link w:val="FFheading2Char"/>
    <w:qFormat/>
    <w:rsid w:val="006E4903"/>
    <w:pPr>
      <w:spacing w:before="0" w:after="0" w:line="240" w:lineRule="auto"/>
    </w:pPr>
    <w:rPr>
      <w:rFonts w:ascii="Arial" w:hAnsi="Arial"/>
      <w:b/>
      <w:sz w:val="22"/>
      <w:lang w:val="x-none" w:eastAsia="x-none"/>
    </w:rPr>
  </w:style>
  <w:style w:type="character" w:customStyle="1" w:styleId="FFbodyChar">
    <w:name w:val="FF_body Char"/>
    <w:link w:val="FFbody"/>
    <w:rsid w:val="006E4903"/>
    <w:rPr>
      <w:rFonts w:ascii="Arial" w:eastAsia="Times New Roman" w:hAnsi="Arial"/>
      <w:szCs w:val="24"/>
      <w:lang w:val="x-none" w:eastAsia="x-none"/>
    </w:rPr>
  </w:style>
  <w:style w:type="character" w:customStyle="1" w:styleId="FFheading2Char">
    <w:name w:val="FF_heading_2 Char"/>
    <w:link w:val="FFheading2"/>
    <w:rsid w:val="006E4903"/>
    <w:rPr>
      <w:rFonts w:ascii="Arial" w:eastAsia="Times New Roman" w:hAnsi="Arial"/>
      <w:b/>
      <w:sz w:val="22"/>
      <w:szCs w:val="24"/>
      <w:lang w:val="x-none" w:eastAsia="x-none"/>
    </w:rPr>
  </w:style>
  <w:style w:type="paragraph" w:customStyle="1" w:styleId="Pa0">
    <w:name w:val="Pa0"/>
    <w:basedOn w:val="Default"/>
    <w:next w:val="Default"/>
    <w:uiPriority w:val="99"/>
    <w:rsid w:val="009144D6"/>
    <w:pPr>
      <w:spacing w:line="281" w:lineRule="atLeast"/>
    </w:pPr>
    <w:rPr>
      <w:rFonts w:ascii="GNBVB J+ Helvetica Neue LT" w:eastAsia="MS Mincho" w:hAnsi="GNBVB J+ Helvetica Neue LT" w:cs="Mangal"/>
      <w:color w:val="auto"/>
      <w:lang w:eastAsia="en-US" w:bidi="hi-IN"/>
    </w:rPr>
  </w:style>
  <w:style w:type="paragraph" w:customStyle="1" w:styleId="Pa1">
    <w:name w:val="Pa1"/>
    <w:basedOn w:val="Default"/>
    <w:next w:val="Default"/>
    <w:uiPriority w:val="99"/>
    <w:rsid w:val="009144D6"/>
    <w:pPr>
      <w:spacing w:line="191" w:lineRule="atLeast"/>
    </w:pPr>
    <w:rPr>
      <w:rFonts w:ascii="GNBVB J+ Helvetica Neue LT" w:eastAsia="MS Mincho" w:hAnsi="GNBVB J+ Helvetica Neue LT" w:cs="Mangal"/>
      <w:color w:val="auto"/>
      <w:lang w:eastAsia="en-US" w:bidi="hi-IN"/>
    </w:rPr>
  </w:style>
  <w:style w:type="paragraph" w:customStyle="1" w:styleId="Pa2">
    <w:name w:val="Pa2"/>
    <w:basedOn w:val="Default"/>
    <w:next w:val="Default"/>
    <w:uiPriority w:val="99"/>
    <w:rsid w:val="009144D6"/>
    <w:pPr>
      <w:spacing w:line="211" w:lineRule="atLeast"/>
    </w:pPr>
    <w:rPr>
      <w:rFonts w:ascii="GNBVB J+ Helvetica Neue LT" w:eastAsia="MS Mincho" w:hAnsi="GNBVB J+ Helvetica Neue LT" w:cs="Mangal"/>
      <w:color w:val="auto"/>
      <w:lang w:eastAsia="en-US" w:bidi="hi-IN"/>
    </w:rPr>
  </w:style>
  <w:style w:type="character" w:customStyle="1" w:styleId="A4">
    <w:name w:val="A4"/>
    <w:uiPriority w:val="99"/>
    <w:rsid w:val="009144D6"/>
    <w:rPr>
      <w:rFonts w:cs="GNBVB J+ Helvetica Neue LT"/>
      <w:color w:val="000000"/>
      <w:sz w:val="11"/>
      <w:szCs w:val="11"/>
    </w:rPr>
  </w:style>
  <w:style w:type="paragraph" w:styleId="Subtitle">
    <w:name w:val="Subtitle"/>
    <w:basedOn w:val="Normal"/>
    <w:next w:val="Normal"/>
    <w:link w:val="SubtitleChar"/>
    <w:rsid w:val="000E731D"/>
    <w:pPr>
      <w:spacing w:before="0" w:after="0" w:line="216" w:lineRule="auto"/>
    </w:pPr>
    <w:rPr>
      <w:color w:val="FFFFFF" w:themeColor="background1"/>
      <w:spacing w:val="-10"/>
      <w:sz w:val="32"/>
      <w:szCs w:val="22"/>
    </w:rPr>
  </w:style>
  <w:style w:type="character" w:customStyle="1" w:styleId="SubtitleChar">
    <w:name w:val="Subtitle Char"/>
    <w:basedOn w:val="DefaultParagraphFont"/>
    <w:link w:val="Subtitle"/>
    <w:rsid w:val="000E731D"/>
    <w:rPr>
      <w:rFonts w:asciiTheme="minorHAnsi" w:eastAsia="Times New Roman" w:hAnsiTheme="minorHAnsi"/>
      <w:color w:val="FFFFFF" w:themeColor="background1"/>
      <w:spacing w:val="-10"/>
      <w:sz w:val="32"/>
      <w:szCs w:val="22"/>
    </w:rPr>
  </w:style>
  <w:style w:type="paragraph" w:styleId="Title">
    <w:name w:val="Title"/>
    <w:basedOn w:val="Normal"/>
    <w:next w:val="Normal"/>
    <w:link w:val="TitleChar"/>
    <w:rsid w:val="000E731D"/>
    <w:pPr>
      <w:spacing w:before="0" w:after="0" w:line="204" w:lineRule="auto"/>
    </w:pPr>
    <w:rPr>
      <w:color w:val="FFFFFF" w:themeColor="background1"/>
      <w:spacing w:val="-20"/>
      <w:sz w:val="52"/>
      <w:szCs w:val="52"/>
    </w:rPr>
  </w:style>
  <w:style w:type="character" w:customStyle="1" w:styleId="TitleChar">
    <w:name w:val="Title Char"/>
    <w:basedOn w:val="DefaultParagraphFont"/>
    <w:link w:val="Title"/>
    <w:rsid w:val="000E731D"/>
    <w:rPr>
      <w:rFonts w:asciiTheme="minorHAnsi" w:eastAsia="Times New Roman" w:hAnsiTheme="minorHAnsi"/>
      <w:color w:val="FFFFFF" w:themeColor="background1"/>
      <w:spacing w:val="-2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0558">
      <w:bodyDiv w:val="1"/>
      <w:marLeft w:val="0"/>
      <w:marRight w:val="0"/>
      <w:marTop w:val="0"/>
      <w:marBottom w:val="0"/>
      <w:divBdr>
        <w:top w:val="none" w:sz="0" w:space="0" w:color="auto"/>
        <w:left w:val="none" w:sz="0" w:space="0" w:color="auto"/>
        <w:bottom w:val="none" w:sz="0" w:space="0" w:color="auto"/>
        <w:right w:val="none" w:sz="0" w:space="0" w:color="auto"/>
      </w:divBdr>
    </w:div>
    <w:div w:id="115879920">
      <w:bodyDiv w:val="1"/>
      <w:marLeft w:val="0"/>
      <w:marRight w:val="0"/>
      <w:marTop w:val="0"/>
      <w:marBottom w:val="0"/>
      <w:divBdr>
        <w:top w:val="none" w:sz="0" w:space="0" w:color="auto"/>
        <w:left w:val="none" w:sz="0" w:space="0" w:color="auto"/>
        <w:bottom w:val="none" w:sz="0" w:space="0" w:color="auto"/>
        <w:right w:val="none" w:sz="0" w:space="0" w:color="auto"/>
      </w:divBdr>
    </w:div>
    <w:div w:id="205652150">
      <w:bodyDiv w:val="1"/>
      <w:marLeft w:val="0"/>
      <w:marRight w:val="0"/>
      <w:marTop w:val="0"/>
      <w:marBottom w:val="0"/>
      <w:divBdr>
        <w:top w:val="none" w:sz="0" w:space="0" w:color="auto"/>
        <w:left w:val="none" w:sz="0" w:space="0" w:color="auto"/>
        <w:bottom w:val="none" w:sz="0" w:space="0" w:color="auto"/>
        <w:right w:val="none" w:sz="0" w:space="0" w:color="auto"/>
      </w:divBdr>
    </w:div>
    <w:div w:id="264119540">
      <w:bodyDiv w:val="1"/>
      <w:marLeft w:val="0"/>
      <w:marRight w:val="0"/>
      <w:marTop w:val="0"/>
      <w:marBottom w:val="0"/>
      <w:divBdr>
        <w:top w:val="none" w:sz="0" w:space="0" w:color="auto"/>
        <w:left w:val="none" w:sz="0" w:space="0" w:color="auto"/>
        <w:bottom w:val="none" w:sz="0" w:space="0" w:color="auto"/>
        <w:right w:val="none" w:sz="0" w:space="0" w:color="auto"/>
      </w:divBdr>
    </w:div>
    <w:div w:id="364522098">
      <w:bodyDiv w:val="1"/>
      <w:marLeft w:val="0"/>
      <w:marRight w:val="0"/>
      <w:marTop w:val="0"/>
      <w:marBottom w:val="0"/>
      <w:divBdr>
        <w:top w:val="none" w:sz="0" w:space="0" w:color="auto"/>
        <w:left w:val="none" w:sz="0" w:space="0" w:color="auto"/>
        <w:bottom w:val="none" w:sz="0" w:space="0" w:color="auto"/>
        <w:right w:val="none" w:sz="0" w:space="0" w:color="auto"/>
      </w:divBdr>
    </w:div>
    <w:div w:id="431167208">
      <w:bodyDiv w:val="1"/>
      <w:marLeft w:val="0"/>
      <w:marRight w:val="0"/>
      <w:marTop w:val="0"/>
      <w:marBottom w:val="0"/>
      <w:divBdr>
        <w:top w:val="none" w:sz="0" w:space="0" w:color="auto"/>
        <w:left w:val="none" w:sz="0" w:space="0" w:color="auto"/>
        <w:bottom w:val="none" w:sz="0" w:space="0" w:color="auto"/>
        <w:right w:val="none" w:sz="0" w:space="0" w:color="auto"/>
      </w:divBdr>
    </w:div>
    <w:div w:id="586689447">
      <w:bodyDiv w:val="1"/>
      <w:marLeft w:val="0"/>
      <w:marRight w:val="0"/>
      <w:marTop w:val="0"/>
      <w:marBottom w:val="0"/>
      <w:divBdr>
        <w:top w:val="none" w:sz="0" w:space="0" w:color="auto"/>
        <w:left w:val="none" w:sz="0" w:space="0" w:color="auto"/>
        <w:bottom w:val="none" w:sz="0" w:space="0" w:color="auto"/>
        <w:right w:val="none" w:sz="0" w:space="0" w:color="auto"/>
      </w:divBdr>
    </w:div>
    <w:div w:id="670528813">
      <w:bodyDiv w:val="1"/>
      <w:marLeft w:val="0"/>
      <w:marRight w:val="0"/>
      <w:marTop w:val="0"/>
      <w:marBottom w:val="0"/>
      <w:divBdr>
        <w:top w:val="none" w:sz="0" w:space="0" w:color="auto"/>
        <w:left w:val="none" w:sz="0" w:space="0" w:color="auto"/>
        <w:bottom w:val="none" w:sz="0" w:space="0" w:color="auto"/>
        <w:right w:val="none" w:sz="0" w:space="0" w:color="auto"/>
      </w:divBdr>
    </w:div>
    <w:div w:id="741636583">
      <w:bodyDiv w:val="1"/>
      <w:marLeft w:val="0"/>
      <w:marRight w:val="0"/>
      <w:marTop w:val="0"/>
      <w:marBottom w:val="0"/>
      <w:divBdr>
        <w:top w:val="none" w:sz="0" w:space="0" w:color="auto"/>
        <w:left w:val="none" w:sz="0" w:space="0" w:color="auto"/>
        <w:bottom w:val="none" w:sz="0" w:space="0" w:color="auto"/>
        <w:right w:val="none" w:sz="0" w:space="0" w:color="auto"/>
      </w:divBdr>
    </w:div>
    <w:div w:id="805927912">
      <w:bodyDiv w:val="1"/>
      <w:marLeft w:val="0"/>
      <w:marRight w:val="0"/>
      <w:marTop w:val="0"/>
      <w:marBottom w:val="0"/>
      <w:divBdr>
        <w:top w:val="none" w:sz="0" w:space="0" w:color="auto"/>
        <w:left w:val="none" w:sz="0" w:space="0" w:color="auto"/>
        <w:bottom w:val="none" w:sz="0" w:space="0" w:color="auto"/>
        <w:right w:val="none" w:sz="0" w:space="0" w:color="auto"/>
      </w:divBdr>
    </w:div>
    <w:div w:id="817264785">
      <w:bodyDiv w:val="1"/>
      <w:marLeft w:val="0"/>
      <w:marRight w:val="0"/>
      <w:marTop w:val="0"/>
      <w:marBottom w:val="0"/>
      <w:divBdr>
        <w:top w:val="none" w:sz="0" w:space="0" w:color="auto"/>
        <w:left w:val="none" w:sz="0" w:space="0" w:color="auto"/>
        <w:bottom w:val="none" w:sz="0" w:space="0" w:color="auto"/>
        <w:right w:val="none" w:sz="0" w:space="0" w:color="auto"/>
      </w:divBdr>
    </w:div>
    <w:div w:id="833690356">
      <w:bodyDiv w:val="1"/>
      <w:marLeft w:val="0"/>
      <w:marRight w:val="0"/>
      <w:marTop w:val="0"/>
      <w:marBottom w:val="0"/>
      <w:divBdr>
        <w:top w:val="none" w:sz="0" w:space="0" w:color="auto"/>
        <w:left w:val="none" w:sz="0" w:space="0" w:color="auto"/>
        <w:bottom w:val="none" w:sz="0" w:space="0" w:color="auto"/>
        <w:right w:val="none" w:sz="0" w:space="0" w:color="auto"/>
      </w:divBdr>
    </w:div>
    <w:div w:id="1160120778">
      <w:bodyDiv w:val="1"/>
      <w:marLeft w:val="0"/>
      <w:marRight w:val="0"/>
      <w:marTop w:val="0"/>
      <w:marBottom w:val="0"/>
      <w:divBdr>
        <w:top w:val="none" w:sz="0" w:space="0" w:color="auto"/>
        <w:left w:val="none" w:sz="0" w:space="0" w:color="auto"/>
        <w:bottom w:val="none" w:sz="0" w:space="0" w:color="auto"/>
        <w:right w:val="none" w:sz="0" w:space="0" w:color="auto"/>
      </w:divBdr>
    </w:div>
    <w:div w:id="1198815112">
      <w:bodyDiv w:val="1"/>
      <w:marLeft w:val="0"/>
      <w:marRight w:val="0"/>
      <w:marTop w:val="0"/>
      <w:marBottom w:val="0"/>
      <w:divBdr>
        <w:top w:val="none" w:sz="0" w:space="0" w:color="auto"/>
        <w:left w:val="none" w:sz="0" w:space="0" w:color="auto"/>
        <w:bottom w:val="none" w:sz="0" w:space="0" w:color="auto"/>
        <w:right w:val="none" w:sz="0" w:space="0" w:color="auto"/>
      </w:divBdr>
    </w:div>
    <w:div w:id="1644458058">
      <w:bodyDiv w:val="1"/>
      <w:marLeft w:val="0"/>
      <w:marRight w:val="0"/>
      <w:marTop w:val="0"/>
      <w:marBottom w:val="0"/>
      <w:divBdr>
        <w:top w:val="none" w:sz="0" w:space="0" w:color="auto"/>
        <w:left w:val="none" w:sz="0" w:space="0" w:color="auto"/>
        <w:bottom w:val="none" w:sz="0" w:space="0" w:color="auto"/>
        <w:right w:val="none" w:sz="0" w:space="0" w:color="auto"/>
      </w:divBdr>
    </w:div>
    <w:div w:id="1794715350">
      <w:bodyDiv w:val="1"/>
      <w:marLeft w:val="0"/>
      <w:marRight w:val="0"/>
      <w:marTop w:val="0"/>
      <w:marBottom w:val="0"/>
      <w:divBdr>
        <w:top w:val="none" w:sz="0" w:space="0" w:color="auto"/>
        <w:left w:val="none" w:sz="0" w:space="0" w:color="auto"/>
        <w:bottom w:val="none" w:sz="0" w:space="0" w:color="auto"/>
        <w:right w:val="none" w:sz="0" w:space="0" w:color="auto"/>
      </w:divBdr>
    </w:div>
    <w:div w:id="1840847613">
      <w:bodyDiv w:val="1"/>
      <w:marLeft w:val="0"/>
      <w:marRight w:val="0"/>
      <w:marTop w:val="0"/>
      <w:marBottom w:val="0"/>
      <w:divBdr>
        <w:top w:val="none" w:sz="0" w:space="0" w:color="auto"/>
        <w:left w:val="none" w:sz="0" w:space="0" w:color="auto"/>
        <w:bottom w:val="none" w:sz="0" w:space="0" w:color="auto"/>
        <w:right w:val="none" w:sz="0" w:space="0" w:color="auto"/>
      </w:divBdr>
    </w:div>
    <w:div w:id="1870221032">
      <w:bodyDiv w:val="1"/>
      <w:marLeft w:val="0"/>
      <w:marRight w:val="0"/>
      <w:marTop w:val="0"/>
      <w:marBottom w:val="0"/>
      <w:divBdr>
        <w:top w:val="none" w:sz="0" w:space="0" w:color="auto"/>
        <w:left w:val="none" w:sz="0" w:space="0" w:color="auto"/>
        <w:bottom w:val="none" w:sz="0" w:space="0" w:color="auto"/>
        <w:right w:val="none" w:sz="0" w:space="0" w:color="auto"/>
      </w:divBdr>
    </w:div>
    <w:div w:id="2078547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martfinancialplanning.com.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hannon@smartfinancialplanning.com.au" TargetMode="External"/><Relationship Id="rId2" Type="http://schemas.openxmlformats.org/officeDocument/2006/relationships/customXml" Target="../customXml/item2.xml"/><Relationship Id="rId16" Type="http://schemas.openxmlformats.org/officeDocument/2006/relationships/hyperlink" Target="http://www.smartfinancialplanning.com.au"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hannon@smartfinancialplanning.com.au"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roganj\Local%20Settings\Temp\wz3b16\MarketWatch_CFS\Templates\MarketWatch_CFS_adviser_template.dotx" TargetMode="External"/></Relationships>
</file>

<file path=word/theme/theme1.xml><?xml version="1.0" encoding="utf-8"?>
<a:theme xmlns:a="http://schemas.openxmlformats.org/drawingml/2006/main" name="Office Theme">
  <a:themeElements>
    <a:clrScheme name="Count">
      <a:dk1>
        <a:sysClr val="windowText" lastClr="000000"/>
      </a:dk1>
      <a:lt1>
        <a:sysClr val="window" lastClr="FFFFFF"/>
      </a:lt1>
      <a:dk2>
        <a:srgbClr val="000000"/>
      </a:dk2>
      <a:lt2>
        <a:srgbClr val="FFFFFF"/>
      </a:lt2>
      <a:accent1>
        <a:srgbClr val="293574"/>
      </a:accent1>
      <a:accent2>
        <a:srgbClr val="CC7E1A"/>
      </a:accent2>
      <a:accent3>
        <a:srgbClr val="007693"/>
      </a:accent3>
      <a:accent4>
        <a:srgbClr val="D6CC8E"/>
      </a:accent4>
      <a:accent5>
        <a:srgbClr val="958F92"/>
      </a:accent5>
      <a:accent6>
        <a:srgbClr val="A6004C"/>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vertOverflow="clip" wrap="square" rtlCol="0"/>
      <a:lstStyle>
        <a:defPPr>
          <a:defRPr sz="100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31551BBA29AF48A0DF13BF40DA785F" ma:contentTypeVersion="14" ma:contentTypeDescription="Create a new document." ma:contentTypeScope="" ma:versionID="bdf268508ca2389766cf0b84bf2739fc">
  <xsd:schema xmlns:xsd="http://www.w3.org/2001/XMLSchema" xmlns:xs="http://www.w3.org/2001/XMLSchema" xmlns:p="http://schemas.microsoft.com/office/2006/metadata/properties" xmlns:ns1="http://schemas.microsoft.com/sharepoint/v3" xmlns:ns2="97884903-a30f-431d-8d90-f33171442c10" xmlns:ns3="aa738544-32a4-411c-8186-5d55981d2b6e" targetNamespace="http://schemas.microsoft.com/office/2006/metadata/properties" ma:root="true" ma:fieldsID="136f4c087f0e8152404107115c90bcc5" ns1:_="" ns2:_="" ns3:_="">
    <xsd:import namespace="http://schemas.microsoft.com/sharepoint/v3"/>
    <xsd:import namespace="97884903-a30f-431d-8d90-f33171442c10"/>
    <xsd:import namespace="aa738544-32a4-411c-8186-5d55981d2b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84903-a30f-431d-8d90-f33171442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738544-32a4-411c-8186-5d55981d2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4F597-8911-49B0-8F19-8E6FD27D0216}">
  <ds:schemaRefs>
    <ds:schemaRef ds:uri="http://schemas.microsoft.com/sharepoint/v3/contenttype/forms"/>
  </ds:schemaRefs>
</ds:datastoreItem>
</file>

<file path=customXml/itemProps2.xml><?xml version="1.0" encoding="utf-8"?>
<ds:datastoreItem xmlns:ds="http://schemas.openxmlformats.org/officeDocument/2006/customXml" ds:itemID="{F5483F46-5C7A-4227-B1A0-BB8B65D885C9}">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E4CC6606-A681-43B1-9CA2-03F5E7CAB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884903-a30f-431d-8d90-f33171442c10"/>
    <ds:schemaRef ds:uri="aa738544-32a4-411c-8186-5d55981d2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DCE1D0-9A74-45BD-AEBC-2AF99DBC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MarketWatch_CFS_adviser_template</Template>
  <TotalTime>68</TotalTime>
  <Pages>5</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Market Watch</vt:lpstr>
    </vt:vector>
  </TitlesOfParts>
  <Company>Colonial First State</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Watch</dc:title>
  <dc:creator>Rogan, Jessica</dc:creator>
  <cp:lastModifiedBy>Fhei Mendiola</cp:lastModifiedBy>
  <cp:revision>10</cp:revision>
  <cp:lastPrinted>2019-07-19T01:48:00Z</cp:lastPrinted>
  <dcterms:created xsi:type="dcterms:W3CDTF">2020-04-15T22:46:00Z</dcterms:created>
  <dcterms:modified xsi:type="dcterms:W3CDTF">2020-07-28T06:30:00Z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0x010100C531551BBA29AF48A0DF13BF40DA785F</vt:lpwstr>
  </property>
  <property fmtid="{D5CDD505-2E9C-101B-9397-08002B2CF9AE}" pid="3" name="Order">
    <vt:r8>4933800</vt:r8>
  </property>
</Properties>
</file>